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157" w:rsidRDefault="00FA6157">
      <w:pPr>
        <w:pStyle w:val="newncpi0"/>
        <w:jc w:val="center"/>
      </w:pPr>
      <w:bookmarkStart w:id="0" w:name="_GoBack"/>
      <w:bookmarkEnd w:id="0"/>
      <w:r>
        <w:rPr>
          <w:rStyle w:val="name"/>
        </w:rPr>
        <w:t>УКАЗ </w:t>
      </w:r>
      <w:r>
        <w:rPr>
          <w:rStyle w:val="promulgator"/>
        </w:rPr>
        <w:t>ПРЕЗИДЕНТА РЕСПУБЛИКИ БЕЛАРУСЬ</w:t>
      </w:r>
    </w:p>
    <w:p w:rsidR="00FA6157" w:rsidRDefault="00FA6157">
      <w:pPr>
        <w:pStyle w:val="newncpi"/>
        <w:ind w:firstLine="0"/>
        <w:jc w:val="center"/>
      </w:pPr>
      <w:r>
        <w:rPr>
          <w:rStyle w:val="datepr"/>
        </w:rPr>
        <w:t>29 июля 2021 г.</w:t>
      </w:r>
      <w:r>
        <w:rPr>
          <w:rStyle w:val="number"/>
        </w:rPr>
        <w:t xml:space="preserve"> № 292</w:t>
      </w:r>
    </w:p>
    <w:p w:rsidR="00FA6157" w:rsidRDefault="00FA6157">
      <w:pPr>
        <w:pStyle w:val="titlencpi"/>
      </w:pPr>
      <w:r>
        <w:t>Об утверждении Программы социально-экономического развития Республики Беларусь на 2021–2025 годы</w:t>
      </w:r>
    </w:p>
    <w:p w:rsidR="00FA6157" w:rsidRDefault="00FA6157">
      <w:pPr>
        <w:pStyle w:val="changei"/>
      </w:pPr>
      <w:r>
        <w:t>Изменения и дополнения:</w:t>
      </w:r>
    </w:p>
    <w:p w:rsidR="00FA6157" w:rsidRDefault="00FA6157">
      <w:pPr>
        <w:pStyle w:val="changeadd"/>
      </w:pPr>
      <w:r>
        <w:t>Указ Президента Республики Беларусь от 23 июня 2023 г. № 180 (Национальный правовой Интернет-портал Республики Беларусь, 28.06.2023, 1/20899) &lt;P32300180&gt;</w:t>
      </w:r>
    </w:p>
    <w:p w:rsidR="00FA6157" w:rsidRDefault="00FA6157">
      <w:pPr>
        <w:pStyle w:val="newncpi"/>
      </w:pPr>
      <w:r>
        <w:t> </w:t>
      </w:r>
    </w:p>
    <w:p w:rsidR="00FA6157" w:rsidRDefault="00FA6157">
      <w:pPr>
        <w:pStyle w:val="point"/>
      </w:pPr>
      <w:r>
        <w:t>1. Утвердить Программу социально-экономического развития Республики Беларусь на 2021–2025 годы (прилагается).</w:t>
      </w:r>
    </w:p>
    <w:p w:rsidR="00FA6157" w:rsidRDefault="00FA6157">
      <w:pPr>
        <w:pStyle w:val="point"/>
      </w:pPr>
      <w:r>
        <w:t>2. Совету Министров Республики Беларусь совместно с Национальным банком, Национальной академией наук Беларуси, облисполкомами, Минским горисполкомом и другими государственными органами обеспечить выполнение Программы, названной в пункте 1 настоящего Указа.</w:t>
      </w:r>
    </w:p>
    <w:p w:rsidR="00FA6157" w:rsidRDefault="00FA6157">
      <w:pPr>
        <w:pStyle w:val="point"/>
      </w:pPr>
      <w:r>
        <w:t>3. Настоящий Указ вступает в силу со дня его подписания.</w:t>
      </w:r>
    </w:p>
    <w:p w:rsidR="00FA6157" w:rsidRDefault="00FA6157">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FA6157">
        <w:tc>
          <w:tcPr>
            <w:tcW w:w="2500" w:type="pct"/>
            <w:tcMar>
              <w:top w:w="0" w:type="dxa"/>
              <w:left w:w="6" w:type="dxa"/>
              <w:bottom w:w="0" w:type="dxa"/>
              <w:right w:w="6" w:type="dxa"/>
            </w:tcMar>
            <w:vAlign w:val="bottom"/>
            <w:hideMark/>
          </w:tcPr>
          <w:p w:rsidR="00FA6157" w:rsidRDefault="00FA6157">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FA6157" w:rsidRDefault="00FA6157">
            <w:pPr>
              <w:pStyle w:val="newncpi0"/>
              <w:jc w:val="right"/>
            </w:pPr>
            <w:r>
              <w:rPr>
                <w:rStyle w:val="pers"/>
              </w:rPr>
              <w:t>А.Лукашенко</w:t>
            </w:r>
          </w:p>
        </w:tc>
      </w:tr>
    </w:tbl>
    <w:p w:rsidR="00FA6157" w:rsidRDefault="00FA6157">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FA6157">
        <w:tc>
          <w:tcPr>
            <w:tcW w:w="3750" w:type="pct"/>
            <w:tcMar>
              <w:top w:w="0" w:type="dxa"/>
              <w:left w:w="6" w:type="dxa"/>
              <w:bottom w:w="0" w:type="dxa"/>
              <w:right w:w="6" w:type="dxa"/>
            </w:tcMar>
            <w:hideMark/>
          </w:tcPr>
          <w:p w:rsidR="00FA6157" w:rsidRDefault="00FA6157">
            <w:pPr>
              <w:pStyle w:val="newncpi"/>
            </w:pPr>
            <w:r>
              <w:t> </w:t>
            </w:r>
          </w:p>
        </w:tc>
        <w:tc>
          <w:tcPr>
            <w:tcW w:w="1250" w:type="pct"/>
            <w:tcMar>
              <w:top w:w="0" w:type="dxa"/>
              <w:left w:w="6" w:type="dxa"/>
              <w:bottom w:w="0" w:type="dxa"/>
              <w:right w:w="6" w:type="dxa"/>
            </w:tcMar>
            <w:hideMark/>
          </w:tcPr>
          <w:p w:rsidR="00FA6157" w:rsidRDefault="00FA6157">
            <w:pPr>
              <w:pStyle w:val="capu1"/>
            </w:pPr>
            <w:r>
              <w:t>УТВЕРЖДЕНО</w:t>
            </w:r>
          </w:p>
          <w:p w:rsidR="00FA6157" w:rsidRDefault="00FA6157">
            <w:pPr>
              <w:pStyle w:val="cap1"/>
            </w:pPr>
            <w:r>
              <w:t xml:space="preserve">Указ Президента </w:t>
            </w:r>
            <w:r>
              <w:br/>
              <w:t>Республики Беларусь</w:t>
            </w:r>
            <w:r>
              <w:br/>
              <w:t>29.07.2021 № 292</w:t>
            </w:r>
          </w:p>
        </w:tc>
      </w:tr>
    </w:tbl>
    <w:p w:rsidR="00FA6157" w:rsidRDefault="00FA6157">
      <w:pPr>
        <w:pStyle w:val="titleu"/>
        <w:jc w:val="center"/>
      </w:pPr>
      <w:r>
        <w:t xml:space="preserve">ПРОГРАММА </w:t>
      </w:r>
      <w:r>
        <w:br/>
        <w:t>СОЦИАЛЬНО-ЭКОНОМИЧЕСКОГО РАЗВИТИЯ РЕСПУБЛИКИ БЕЛАРУСЬ НА 2021–2025 ГОДЫ</w:t>
      </w:r>
    </w:p>
    <w:p w:rsidR="00FA6157" w:rsidRDefault="00FA6157">
      <w:pPr>
        <w:pStyle w:val="newncpi0"/>
        <w:jc w:val="center"/>
      </w:pPr>
      <w:r>
        <w:rPr>
          <w:b/>
          <w:bCs/>
        </w:rPr>
        <w:t>СОДЕРЖАНИЕ</w:t>
      </w:r>
    </w:p>
    <w:p w:rsidR="00FA6157" w:rsidRDefault="00FA6157">
      <w:pPr>
        <w:pStyle w:val="newncpi"/>
      </w:pPr>
      <w:r>
        <w:t> </w:t>
      </w:r>
    </w:p>
    <w:p w:rsidR="00FA6157" w:rsidRDefault="00FA6157">
      <w:pPr>
        <w:pStyle w:val="contenttext"/>
      </w:pPr>
      <w:r>
        <w:t>ГЛАВА 1. Общие положения</w:t>
      </w:r>
    </w:p>
    <w:p w:rsidR="00FA6157" w:rsidRDefault="00FA6157">
      <w:pPr>
        <w:pStyle w:val="contenttext"/>
      </w:pPr>
      <w:r>
        <w:t>ГЛАВА 2. Основные итоги развития страны за 2016–2020 годы</w:t>
      </w:r>
    </w:p>
    <w:p w:rsidR="00FA6157" w:rsidRDefault="00FA6157">
      <w:pPr>
        <w:pStyle w:val="contenttext"/>
      </w:pPr>
      <w:r>
        <w:t>ГЛАВА 3. Глобальные вызовы и новые реалии развития</w:t>
      </w:r>
    </w:p>
    <w:p w:rsidR="00FA6157" w:rsidRDefault="00FA6157">
      <w:pPr>
        <w:pStyle w:val="contenttext"/>
      </w:pPr>
      <w:r>
        <w:t>ГЛАВА 4. Цель и задачи социально-экономического развития страны в среднесрочной перспективе</w:t>
      </w:r>
    </w:p>
    <w:p w:rsidR="00FA6157" w:rsidRDefault="00FA6157">
      <w:pPr>
        <w:pStyle w:val="contenttext"/>
      </w:pPr>
      <w:r>
        <w:t>ГЛАВА 5. Улучшение качества жизни населения</w:t>
      </w:r>
    </w:p>
    <w:p w:rsidR="00FA6157" w:rsidRDefault="00FA6157">
      <w:pPr>
        <w:pStyle w:val="contenttext"/>
      </w:pPr>
      <w:r>
        <w:t>5.1. Укрепление демографического потенциала и здоровья нации</w:t>
      </w:r>
    </w:p>
    <w:p w:rsidR="00FA6157" w:rsidRDefault="00FA6157">
      <w:pPr>
        <w:pStyle w:val="contenttext"/>
      </w:pPr>
      <w:r>
        <w:t>5.2. Содействие эффективной занятости</w:t>
      </w:r>
    </w:p>
    <w:p w:rsidR="00FA6157" w:rsidRDefault="00FA6157">
      <w:pPr>
        <w:pStyle w:val="contenttext"/>
      </w:pPr>
      <w:r>
        <w:t>5.3. Устойчивый рост доходов населения</w:t>
      </w:r>
    </w:p>
    <w:p w:rsidR="00FA6157" w:rsidRDefault="00FA6157">
      <w:pPr>
        <w:pStyle w:val="contenttext"/>
      </w:pPr>
      <w:r>
        <w:t>5.4. Обеспечение высоких гарантий социальной защиты населения</w:t>
      </w:r>
    </w:p>
    <w:p w:rsidR="00FA6157" w:rsidRDefault="00FA6157">
      <w:pPr>
        <w:pStyle w:val="contenttext"/>
      </w:pPr>
      <w:r>
        <w:t>5.5. Повышение качества и доступности образования</w:t>
      </w:r>
    </w:p>
    <w:p w:rsidR="00FA6157" w:rsidRDefault="00FA6157">
      <w:pPr>
        <w:pStyle w:val="contenttext"/>
      </w:pPr>
      <w:r>
        <w:t>5.6. Раскрытие культурного потенциала</w:t>
      </w:r>
    </w:p>
    <w:p w:rsidR="00FA6157" w:rsidRDefault="00FA6157">
      <w:pPr>
        <w:pStyle w:val="contenttext"/>
      </w:pPr>
      <w:r>
        <w:t>5.7. Развитие физической культуры и спорта</w:t>
      </w:r>
    </w:p>
    <w:p w:rsidR="00FA6157" w:rsidRDefault="00FA6157">
      <w:pPr>
        <w:pStyle w:val="contenttext"/>
      </w:pPr>
      <w:r>
        <w:t>5.8. Создание возможностей для развития и самореализации молодежи</w:t>
      </w:r>
    </w:p>
    <w:p w:rsidR="00FA6157" w:rsidRDefault="00FA6157">
      <w:pPr>
        <w:pStyle w:val="contenttext"/>
      </w:pPr>
      <w:r>
        <w:t>ГЛАВА 6. Укрепление экономического потенциала</w:t>
      </w:r>
    </w:p>
    <w:p w:rsidR="00FA6157" w:rsidRDefault="00FA6157">
      <w:pPr>
        <w:pStyle w:val="contenttext"/>
      </w:pPr>
      <w:r>
        <w:t>6.1. Рост конкурентоспособности промышленного комплекса</w:t>
      </w:r>
    </w:p>
    <w:p w:rsidR="00FA6157" w:rsidRDefault="00FA6157">
      <w:pPr>
        <w:pStyle w:val="contenttext"/>
      </w:pPr>
      <w:r>
        <w:t>6.2. Устойчивая энергетика и энергоэффективность</w:t>
      </w:r>
    </w:p>
    <w:p w:rsidR="00FA6157" w:rsidRDefault="00FA6157">
      <w:pPr>
        <w:pStyle w:val="contenttext"/>
      </w:pPr>
      <w:r>
        <w:t>6.3. Эффективное сельское хозяйство</w:t>
      </w:r>
    </w:p>
    <w:p w:rsidR="00FA6157" w:rsidRDefault="00FA6157">
      <w:pPr>
        <w:pStyle w:val="contenttext"/>
      </w:pPr>
      <w:r>
        <w:t>6.4. Лесное хозяйство</w:t>
      </w:r>
    </w:p>
    <w:p w:rsidR="00FA6157" w:rsidRDefault="00FA6157">
      <w:pPr>
        <w:pStyle w:val="contenttext"/>
      </w:pPr>
      <w:r>
        <w:t>6.5. Ускоренное развитие сферы услуг</w:t>
      </w:r>
    </w:p>
    <w:p w:rsidR="00FA6157" w:rsidRDefault="00FA6157">
      <w:pPr>
        <w:pStyle w:val="contenttext"/>
      </w:pPr>
      <w:r>
        <w:lastRenderedPageBreak/>
        <w:t>ГЛАВА 7. Цифровая трансформация</w:t>
      </w:r>
    </w:p>
    <w:p w:rsidR="00FA6157" w:rsidRDefault="00FA6157">
      <w:pPr>
        <w:pStyle w:val="contenttext"/>
      </w:pPr>
      <w:r>
        <w:t>ГЛАВА 8. Проактивная внешнеэкономическая политика</w:t>
      </w:r>
    </w:p>
    <w:p w:rsidR="00FA6157" w:rsidRDefault="00FA6157">
      <w:pPr>
        <w:pStyle w:val="contenttext"/>
      </w:pPr>
      <w:r>
        <w:t>ГЛАВА 9. Региональное развитие</w:t>
      </w:r>
    </w:p>
    <w:p w:rsidR="00FA6157" w:rsidRDefault="00FA6157">
      <w:pPr>
        <w:pStyle w:val="contenttext"/>
      </w:pPr>
      <w:r>
        <w:t>9.1. Развитие регионов на основе создания новых производств и рабочих мест</w:t>
      </w:r>
    </w:p>
    <w:p w:rsidR="00FA6157" w:rsidRDefault="00FA6157">
      <w:pPr>
        <w:pStyle w:val="contenttext"/>
      </w:pPr>
      <w:r>
        <w:t>9.2. Создание комфортной и безопасной среды проживания</w:t>
      </w:r>
    </w:p>
    <w:p w:rsidR="00FA6157" w:rsidRDefault="00FA6157">
      <w:pPr>
        <w:pStyle w:val="contenttext"/>
      </w:pPr>
      <w:r>
        <w:t>9.3. Обеспечение экологически безопасной жизнедеятельности населения, улучшение охраны окружающей среды, эффективное использование природных ресурсов</w:t>
      </w:r>
    </w:p>
    <w:p w:rsidR="00FA6157" w:rsidRDefault="00FA6157">
      <w:pPr>
        <w:pStyle w:val="contenttext"/>
      </w:pPr>
      <w:r>
        <w:t>ГЛАВА 10. Формирование благоприятной институциональной среды</w:t>
      </w:r>
    </w:p>
    <w:p w:rsidR="00FA6157" w:rsidRDefault="00FA6157">
      <w:pPr>
        <w:pStyle w:val="contenttext"/>
      </w:pPr>
      <w:r>
        <w:t>10.1. Инвестиционная политика</w:t>
      </w:r>
    </w:p>
    <w:p w:rsidR="00FA6157" w:rsidRDefault="00FA6157">
      <w:pPr>
        <w:pStyle w:val="contenttext"/>
      </w:pPr>
      <w:r>
        <w:t>10.2. Современная экосистема инноваций</w:t>
      </w:r>
    </w:p>
    <w:p w:rsidR="00FA6157" w:rsidRDefault="00FA6157">
      <w:pPr>
        <w:pStyle w:val="contenttext"/>
      </w:pPr>
      <w:r>
        <w:t>10.3. Финансовая и ценовая стабильность</w:t>
      </w:r>
    </w:p>
    <w:p w:rsidR="00FA6157" w:rsidRDefault="00FA6157">
      <w:pPr>
        <w:pStyle w:val="contenttext"/>
      </w:pPr>
      <w:r>
        <w:t>10.4. Бюджетно-финансовая и налоговая политика</w:t>
      </w:r>
    </w:p>
    <w:p w:rsidR="00FA6157" w:rsidRDefault="00FA6157">
      <w:pPr>
        <w:pStyle w:val="contenttext"/>
      </w:pPr>
      <w:r>
        <w:t>10.5. Благоприятная деловая среда</w:t>
      </w:r>
    </w:p>
    <w:p w:rsidR="00FA6157" w:rsidRDefault="00FA6157">
      <w:pPr>
        <w:pStyle w:val="contenttext"/>
      </w:pPr>
      <w:r>
        <w:t>10.6. Повышение качества государственного управления и эффективности государственных активов</w:t>
      </w:r>
    </w:p>
    <w:p w:rsidR="00FA6157" w:rsidRDefault="00FA6157">
      <w:pPr>
        <w:pStyle w:val="contenttext"/>
      </w:pPr>
      <w:r>
        <w:t>ГЛАВА 11. Заключение</w:t>
      </w:r>
    </w:p>
    <w:p w:rsidR="00FA6157" w:rsidRDefault="00FA6157">
      <w:pPr>
        <w:pStyle w:val="contenttext"/>
      </w:pPr>
      <w:r>
        <w:t>Приложение 1</w:t>
      </w:r>
    </w:p>
    <w:p w:rsidR="00FA6157" w:rsidRDefault="00FA6157">
      <w:pPr>
        <w:pStyle w:val="contenttext"/>
      </w:pPr>
      <w:r>
        <w:t>Приложение 2</w:t>
      </w:r>
    </w:p>
    <w:p w:rsidR="00FA6157" w:rsidRDefault="00FA6157">
      <w:pPr>
        <w:pStyle w:val="chapter"/>
      </w:pPr>
      <w:r>
        <w:t xml:space="preserve">ГЛАВА 1 </w:t>
      </w:r>
      <w:r>
        <w:br/>
        <w:t>ОБЩИЕ ПОЛОЖЕНИЯ</w:t>
      </w:r>
    </w:p>
    <w:p w:rsidR="00FA6157" w:rsidRDefault="00FA6157">
      <w:pPr>
        <w:pStyle w:val="newncpi"/>
      </w:pPr>
      <w:r>
        <w:t>Программа социально-экономического развития Республики Беларусь на 2021–2025 годы (далее – Программа) разработана Правительством Республики Беларусь совместно с облисполкомами и Минским горисполкомом при участии Национальной академии наук Беларуси и Национального банка, представителей научного и бизнес-сообщества в соответствии с Законом Республики Беларусь от 5 мая 1998 г. № 157-З «О государственном прогнозировании и программах социально-экономического развития Республики Беларусь».</w:t>
      </w:r>
    </w:p>
    <w:p w:rsidR="00FA6157" w:rsidRDefault="00FA6157">
      <w:pPr>
        <w:pStyle w:val="newncpi"/>
      </w:pPr>
      <w:r>
        <w:t>В основу разработки Программы положены предвыборная программа Президента Республики Беларусь, ключевые задачи Послания Главы государства белорусскому народу и положения, одобренные на VI Всебелорусском народном собрании. Программа подготовлена исходя из преемственности целей и задач Национальной стратегии устойчивого развития Республики Беларусь на период до 2035 года, директив Президента Республики Беларусь от 14 июня 2007 г. № 3 «О приоритетных направлениях укрепления экономической безопасности государства», от 31 декабря 2010 г. № 4 «О развитии предпринимательской инициативы и стимулировании деловой активности в Республике Беларусь» и других правовых актов.</w:t>
      </w:r>
    </w:p>
    <w:p w:rsidR="00FA6157" w:rsidRDefault="00FA6157">
      <w:pPr>
        <w:pStyle w:val="newncpi"/>
      </w:pPr>
      <w:r>
        <w:t>В Программе определены цель, задачи и приоритетные направления социально-экономического развития страны, ключевые меры по их реализации, отражены ожидаемые результаты и целевые индикаторы развития отраслей, сфер экономики и регионов.</w:t>
      </w:r>
    </w:p>
    <w:p w:rsidR="00FA6157" w:rsidRDefault="00FA6157">
      <w:pPr>
        <w:pStyle w:val="newncpi"/>
      </w:pPr>
      <w:r>
        <w:t>Программа направлена на создание предпосылок для роста благосостояния граждан, обеспечение комфортного проживания в каждом регионе страны, развитие человеческого потенциала. Базовое условие – устойчивый качественный рост экономики.</w:t>
      </w:r>
    </w:p>
    <w:p w:rsidR="00FA6157" w:rsidRDefault="00FA6157">
      <w:pPr>
        <w:pStyle w:val="newncpi"/>
      </w:pPr>
      <w:r>
        <w:t>Достижение поставленных в Программе задач будет обеспечиваться посредством создания регуляторной среды в рамках реализации Программы деятельности Правительства Республики Беларусь на период до 2025 года и выполнения конкретных мероприятий при реализации государственных, отраслевых и региональных программ, Национального инфраструктурного плана Республики Беларусь на 2021–2025 годы.</w:t>
      </w:r>
    </w:p>
    <w:p w:rsidR="00FA6157" w:rsidRDefault="00FA6157">
      <w:pPr>
        <w:pStyle w:val="chapter"/>
      </w:pPr>
      <w:r>
        <w:t xml:space="preserve">ГЛАВА 2 </w:t>
      </w:r>
      <w:r>
        <w:br/>
        <w:t>ОСНОВНЫЕ ИТОГИ РАЗВИТИЯ СТРАНЫ ЗА 2016–2020 ГОДЫ</w:t>
      </w:r>
    </w:p>
    <w:p w:rsidR="00FA6157" w:rsidRDefault="00FA6157">
      <w:pPr>
        <w:pStyle w:val="newncpi"/>
      </w:pPr>
      <w:r>
        <w:lastRenderedPageBreak/>
        <w:t>Главный результат пятой пятилетки – повышение уровня жизни населения, сохранение безопасности и суверенитета страны.</w:t>
      </w:r>
    </w:p>
    <w:p w:rsidR="00FA6157" w:rsidRDefault="00FA6157">
      <w:pPr>
        <w:pStyle w:val="newncpi"/>
      </w:pPr>
      <w:r>
        <w:t>Несмотря на внешние вызовы и ограничения, удалось сохранить внутреннюю стабильность и не допустить обвала экономики.</w:t>
      </w:r>
    </w:p>
    <w:p w:rsidR="00FA6157" w:rsidRDefault="00FA6157">
      <w:pPr>
        <w:pStyle w:val="newncpi"/>
      </w:pPr>
      <w:r>
        <w:t>Валовой внутренний продукт (далее – ВВП) на душу населения по паритету покупательной способности возрос за пятилетие на 14 процентов и достиг в 2020 году более 20 тыс. долларов США.</w:t>
      </w:r>
    </w:p>
    <w:p w:rsidR="00FA6157" w:rsidRDefault="00FA6157">
      <w:pPr>
        <w:pStyle w:val="newncpi"/>
      </w:pPr>
      <w:r>
        <w:t>В стране обеспечена стабильная занятость населения, реальная заработная плата выросла более чем в 1,3 раза. Реальные располагаемые денежные доходы сложились выше программных – 114,6 процента.</w:t>
      </w:r>
    </w:p>
    <w:p w:rsidR="00FA6157" w:rsidRDefault="00FA6157">
      <w:pPr>
        <w:pStyle w:val="newncpi"/>
      </w:pPr>
      <w:r>
        <w:t>В мировом рейтинге достижения 17 Целей устойчивого развития Республика Беларусь вышла на 18-ю позицию среди 166 стран мира.</w:t>
      </w:r>
    </w:p>
    <w:p w:rsidR="00FA6157" w:rsidRDefault="00FA6157">
      <w:pPr>
        <w:pStyle w:val="newncpi"/>
      </w:pPr>
      <w:r>
        <w:t>По индексу человеческого капитала Всемирного банка Беларусь вошла в топ-40, заняв 36-е место из 174 государств по уровню производительности труда нового поколения работников.</w:t>
      </w:r>
    </w:p>
    <w:p w:rsidR="00FA6157" w:rsidRDefault="00FA6157">
      <w:pPr>
        <w:pStyle w:val="newncpi"/>
      </w:pPr>
      <w:r>
        <w:t>Белорусы стали жить дольше. Ожидаемая продолжительность жизни сегодня составляет 74,5 года.</w:t>
      </w:r>
    </w:p>
    <w:p w:rsidR="00FA6157" w:rsidRDefault="00FA6157">
      <w:pPr>
        <w:pStyle w:val="newncpi"/>
      </w:pPr>
      <w:r>
        <w:t>Каждому предоставлена возможность получить качественное образование. Построено 65 детских садов и 22 школы. По индексу уровня образования Республика Беларусь сопоставима с передовыми европейскими странами и занимает 32-е место из 189 государств.</w:t>
      </w:r>
    </w:p>
    <w:p w:rsidR="00FA6157" w:rsidRDefault="00FA6157">
      <w:pPr>
        <w:pStyle w:val="newncpi"/>
      </w:pPr>
      <w:r>
        <w:t>Подтвердила свой высокий уровень белорусская медицина, прежде всего в педиатрии, кардиологии, онкологии, трансплантологии. Введены в эксплуатацию более 30 поликлиник и больниц. По уровню развития медицины наша страна в международном рейтинге занимает 59-ю позицию из 93 стран.</w:t>
      </w:r>
    </w:p>
    <w:p w:rsidR="00FA6157" w:rsidRDefault="00FA6157">
      <w:pPr>
        <w:pStyle w:val="newncpi"/>
      </w:pPr>
      <w:r>
        <w:t>Значимы достижения и в экономике. Инфляция уменьшилась до однозначных величин. Повысилась доступность кредитов. Ставка рефинансирования уменьшена более чем в три раза.</w:t>
      </w:r>
    </w:p>
    <w:p w:rsidR="00FA6157" w:rsidRDefault="00FA6157">
      <w:pPr>
        <w:pStyle w:val="newncpi"/>
      </w:pPr>
      <w:r>
        <w:t>Государство делает упор на развитие бизнеса. Предпринимательство внесло свой существенный вклад в экономику, обеспечив более 40 процентов экспорта товаров и 50 процентов ВВП. В стране созданы благоприятные условия для развития частного сектора экономики. Снизилась административная и контрольная нагрузка на бизнес. В рейтинге «DoingBusiness-2020» Беларусь заняла 49-ю позицию среди 190 экономик мира.</w:t>
      </w:r>
    </w:p>
    <w:p w:rsidR="00FA6157" w:rsidRDefault="00FA6157">
      <w:pPr>
        <w:pStyle w:val="newncpi"/>
      </w:pPr>
      <w:r>
        <w:t>В стране сохранены промышленный потенциал и основные узнаваемые в мире белорусские бренды. В мировом рейтинге по индексу конкурентоспособности промышленности Беларусь находится на 47-й позиции из 152 стран мира.</w:t>
      </w:r>
    </w:p>
    <w:p w:rsidR="00FA6157" w:rsidRDefault="00FA6157">
      <w:pPr>
        <w:pStyle w:val="newncpi"/>
      </w:pPr>
      <w:r>
        <w:t>Республика Беларусь является региональным лидером в производстве тракторов, обеспечивая выпуск около 80 процентов их общего количества в Евразийском экономическом союзе (далее – ЕАЭС). Доля большегрузных карьерных самосвалов на мировом рынке составляет одну треть. Впервые освоено производство легковых автомобилей.</w:t>
      </w:r>
    </w:p>
    <w:p w:rsidR="00FA6157" w:rsidRDefault="00FA6157">
      <w:pPr>
        <w:pStyle w:val="newncpi"/>
      </w:pPr>
      <w:r>
        <w:t>На внутреннем фармацевтическом рынке половина продаж – отечественные лекарственные средства.</w:t>
      </w:r>
    </w:p>
    <w:p w:rsidR="00FA6157" w:rsidRDefault="00FA6157">
      <w:pPr>
        <w:pStyle w:val="newncpi"/>
      </w:pPr>
      <w:r>
        <w:t>Став государством, использующим энергию мирного атома, Беларусь получила экологически чистый источник энергии, который снизит зависимость страны от углеводородного сырья.</w:t>
      </w:r>
    </w:p>
    <w:p w:rsidR="00FA6157" w:rsidRDefault="00FA6157">
      <w:pPr>
        <w:pStyle w:val="newncpi"/>
      </w:pPr>
      <w:r>
        <w:t>Республика зарекомендовала себя надежным партнером на мировом рынке, поддерживая торговые отношения более чем с 200 государствами мира.</w:t>
      </w:r>
    </w:p>
    <w:p w:rsidR="00FA6157" w:rsidRDefault="00FA6157">
      <w:pPr>
        <w:pStyle w:val="newncpi"/>
      </w:pPr>
      <w:r>
        <w:t>Созданные комфортные условия работы и преференции позволили получить всемирное признание белорусской IT-индустрии. Треть экспорта услуг приходится на информационно-коммуникационные.</w:t>
      </w:r>
    </w:p>
    <w:p w:rsidR="00FA6157" w:rsidRDefault="00FA6157">
      <w:pPr>
        <w:pStyle w:val="newncpi"/>
      </w:pPr>
      <w:r>
        <w:lastRenderedPageBreak/>
        <w:t>Беларусь входит в тройку лидеров по экспорту калийных удобрений, обеспечивая шестую часть мирового производства.</w:t>
      </w:r>
    </w:p>
    <w:p w:rsidR="00FA6157" w:rsidRDefault="00FA6157">
      <w:pPr>
        <w:pStyle w:val="newncpi"/>
      </w:pPr>
      <w:r>
        <w:t>Республика Беларусь практически полностью обеспечивает себя продовольствием. Производство сельскохозяйственной продукции на душу населения соответствует уровню развитых стран и по многим позициям превышает показатели, достигнутые в странах Европейского союза (далее – ЕС): по мясу – в 1,2 раза, молоку – в 1,7 раза, овощам – в 1,4 раза. Наша страна занимает 3-е место в мире по экспорту масла животного происхождения, 4-е место – по экспорту сыров и творога.</w:t>
      </w:r>
    </w:p>
    <w:p w:rsidR="00FA6157" w:rsidRDefault="00FA6157">
      <w:pPr>
        <w:pStyle w:val="newncpi"/>
      </w:pPr>
      <w:r>
        <w:t>Сохранена уникальная для полноценной и разнообразной жизни людей</w:t>
      </w:r>
      <w:r>
        <w:rPr>
          <w:i/>
          <w:iCs/>
        </w:rPr>
        <w:t xml:space="preserve"> </w:t>
      </w:r>
      <w:r>
        <w:t>окружающая природная среда. В мировом рейтинге по индексу экологической эффективности Республика Беларусь находится на 49-й позиции из 180 стран.</w:t>
      </w:r>
    </w:p>
    <w:p w:rsidR="00FA6157" w:rsidRDefault="00FA6157">
      <w:pPr>
        <w:pStyle w:val="newncpi"/>
      </w:pPr>
      <w:r>
        <w:rPr>
          <w:b/>
          <w:bCs/>
        </w:rPr>
        <w:t>Основные проблемы развития.</w:t>
      </w:r>
    </w:p>
    <w:p w:rsidR="00FA6157" w:rsidRDefault="00FA6157">
      <w:pPr>
        <w:pStyle w:val="newncpi"/>
      </w:pPr>
      <w:r>
        <w:t>Не все результаты совпали с прогнозами. Под воздействием неблагоприятных внешних факторов ниже запланированного оказался рост ВВП, экспорта и инвестиций. В то же время их снижение значительно меньше, чем у основных партнеров Беларуси и в ряде европейских государств.</w:t>
      </w:r>
    </w:p>
    <w:p w:rsidR="00FA6157" w:rsidRDefault="00FA6157">
      <w:pPr>
        <w:pStyle w:val="newncpi"/>
      </w:pPr>
      <w:r>
        <w:t>Страна по-прежнему сильно зависима от внешних рынков, в первую очередь от поставок углеводородного сырья.</w:t>
      </w:r>
    </w:p>
    <w:p w:rsidR="00FA6157" w:rsidRDefault="00FA6157">
      <w:pPr>
        <w:pStyle w:val="newncpi"/>
      </w:pPr>
      <w:r>
        <w:t>Высокая долговая нагрузка, отсутствие оборотных средств у предприятий не позволили провести в полном объеме их техническое переоснащение. Как следствие, Беларусь отстает от стран ЕС по уровню производительности труда, прежде всего в государственном секторе экономики.</w:t>
      </w:r>
    </w:p>
    <w:p w:rsidR="00FA6157" w:rsidRDefault="00FA6157">
      <w:pPr>
        <w:pStyle w:val="newncpi"/>
      </w:pPr>
      <w:r>
        <w:t>Не в полной мере удалось создать развитый финансовый рынок и привлечь в экономику «длинные» деньги на инвестиционные цели, сформировать полноценную конкурентную среду. По-прежнему сохраняется неравный доступ к финансовым ресурсам для крупного бизнеса, малого и среднего предпринимательства.</w:t>
      </w:r>
    </w:p>
    <w:p w:rsidR="00FA6157" w:rsidRDefault="00FA6157">
      <w:pPr>
        <w:pStyle w:val="newncpi"/>
      </w:pPr>
      <w:r>
        <w:t>Продолжают иметь место бюрократизм и волокита в принятии решений на местах. Не решен вопрос о сокращении документооборота и отчетности. Не в полной мере функционирует система оценки последствий принятых нормативных правовых актов для бизнеса.</w:t>
      </w:r>
    </w:p>
    <w:p w:rsidR="00FA6157" w:rsidRDefault="00FA6157">
      <w:pPr>
        <w:pStyle w:val="newncpi"/>
      </w:pPr>
      <w:r>
        <w:t>Среди социальных проблем – уменьшение демографического потенциала и старение населения. Сохраняется межрегиональная диспропорция по уровню доходов. Недостаточно развита социальная инфраструктура, особенно в сельской местности.</w:t>
      </w:r>
    </w:p>
    <w:p w:rsidR="00FA6157" w:rsidRDefault="00FA6157">
      <w:pPr>
        <w:pStyle w:val="newncpi"/>
      </w:pPr>
      <w:r>
        <w:t>На решение обозначенных проблем, создание комфортных условий жизни и труда будет направлена деятельность государства в новом пятилетии.</w:t>
      </w:r>
    </w:p>
    <w:p w:rsidR="00FA6157" w:rsidRDefault="00FA6157">
      <w:pPr>
        <w:pStyle w:val="chapter"/>
      </w:pPr>
      <w:r>
        <w:t xml:space="preserve">ГЛАВА 3 </w:t>
      </w:r>
      <w:r>
        <w:br/>
        <w:t>ГЛОБАЛЬНЫЕ ВЫЗОВЫ И НОВЫЕ РЕАЛИИ РАЗВИТИЯ</w:t>
      </w:r>
    </w:p>
    <w:p w:rsidR="00FA6157" w:rsidRDefault="00FA6157">
      <w:pPr>
        <w:pStyle w:val="newncpi"/>
      </w:pPr>
      <w:r>
        <w:t>Современный мир переживает период глубоких перемен в условиях всеобщей неопределенности влияния последствий пандемии COVID-19. Перед правительствами множества стран появились новые задачи, которые заведомо не имеют оптимальных решений.</w:t>
      </w:r>
    </w:p>
    <w:p w:rsidR="00FA6157" w:rsidRDefault="00FA6157">
      <w:pPr>
        <w:pStyle w:val="newncpi"/>
      </w:pPr>
      <w:r>
        <w:t>Практически мгновенно произошло искажение мировосприятия и базовых социальных моделей, а также принципов поведения большинства людей.</w:t>
      </w:r>
    </w:p>
    <w:p w:rsidR="00FA6157" w:rsidRDefault="00FA6157">
      <w:pPr>
        <w:pStyle w:val="newncpi"/>
      </w:pPr>
      <w:r>
        <w:t>Медицинская проблема спровоцировала коллапс экономических процессов. Вакцинация из средства спасения превратилась в инструмент коммерческой конкуренции и политического давления. Для поддержания собственной экономики ведущими игроками рынка стали вливаться колоссальные объемы средств. Это влечет формирование новых проблем финансового характера, грозящих перерасти в риски новых потрясений.</w:t>
      </w:r>
    </w:p>
    <w:p w:rsidR="00FA6157" w:rsidRDefault="00FA6157">
      <w:pPr>
        <w:pStyle w:val="newncpi"/>
      </w:pPr>
      <w:r>
        <w:t xml:space="preserve">В результате политические элиты ведущих стран мира столкнулись с недовольством электората и ростом внутренней напряженности. В качестве выхода из такой ситуации была </w:t>
      </w:r>
      <w:r>
        <w:lastRenderedPageBreak/>
        <w:t>выбрана стратегия поиска внешнего противника. Это конфликт всех против всех, когда внутренние противоречия переносятся на внешнее противостояние.</w:t>
      </w:r>
    </w:p>
    <w:p w:rsidR="00FA6157" w:rsidRDefault="00FA6157">
      <w:pPr>
        <w:pStyle w:val="newncpi"/>
      </w:pPr>
      <w:r>
        <w:t>На смену экономической дипломатии пришли инструменты торговых войн и ограничительных мер. Под видом приверженности миру и демократии глобальные лидеры стали продвигать идеи всеобщего подчинения, несмотря на очевидный ущерб национальным интересам.</w:t>
      </w:r>
    </w:p>
    <w:p w:rsidR="00FA6157" w:rsidRDefault="00FA6157">
      <w:pPr>
        <w:pStyle w:val="newncpi"/>
      </w:pPr>
      <w:r>
        <w:t>Под воздействием этих процессов значительно трансформируется структура международных отношений: появляются новые центры политического и экономического влияния. Наблюдаются рассредоточение мирового потенциала силы и развития, изменение ценностных ориентиров, усиливаются попытки навязывания собственной шкалы ценностей другим государствам.</w:t>
      </w:r>
    </w:p>
    <w:p w:rsidR="00FA6157" w:rsidRDefault="00FA6157">
      <w:pPr>
        <w:pStyle w:val="newncpi"/>
      </w:pPr>
      <w:r>
        <w:t>При этом Беларусь признает особую значимость поддержания стабильности и безопасности в мире и готова взаимодействовать со всеми странами, ориентированными на конструктивный диалог и плодотворное сотрудничество, в интересах преодоления глобальных вызовов и формирования сбалансированной международной повестки дня.</w:t>
      </w:r>
    </w:p>
    <w:p w:rsidR="00FA6157" w:rsidRDefault="00FA6157">
      <w:pPr>
        <w:pStyle w:val="newncpi"/>
      </w:pPr>
      <w:r>
        <w:t>Реальной угрозой становятся нарастание демографического дисбаланса и усиление общемирового тренда старения населения, что приведет к активизации борьбы за человеческий капитал.</w:t>
      </w:r>
    </w:p>
    <w:p w:rsidR="00FA6157" w:rsidRDefault="00FA6157">
      <w:pPr>
        <w:pStyle w:val="newncpi"/>
      </w:pPr>
      <w:r>
        <w:t>В новых реалиях большинство стран будут вынуждены переориентировать свою экономическую стратегию на развитие внутреннего рынка, обеспечение продовольственной безопасности и укрепление человеческого потенциала.</w:t>
      </w:r>
    </w:p>
    <w:p w:rsidR="00FA6157" w:rsidRDefault="00FA6157">
      <w:pPr>
        <w:pStyle w:val="newncpi"/>
      </w:pPr>
      <w:r>
        <w:t>Значительно ускорятся процессы цифровизации, что обусловит необходимость расширения цифрового контроля и усиления кибербезопасности, а также перестройки рынка труда в целях повышения его мобильности, гибкости и адаптации к удаленной работе.</w:t>
      </w:r>
    </w:p>
    <w:p w:rsidR="00FA6157" w:rsidRDefault="00FA6157">
      <w:pPr>
        <w:pStyle w:val="newncpi"/>
      </w:pPr>
      <w:r>
        <w:t>Следует ожидать усиления роли государств в управлении общественными процессами в наиболее чувствительных секторах экономики. Приоритетной станет именно социальная сфера.</w:t>
      </w:r>
    </w:p>
    <w:p w:rsidR="00FA6157" w:rsidRDefault="00FA6157">
      <w:pPr>
        <w:pStyle w:val="newncpi"/>
      </w:pPr>
      <w:r>
        <w:t>Глобальные вызовы и угрозы требуют адекватного комплексного ответа, исчерпывающих, продуманных и скоординированных действий всех ветвей власти, государства и общества.</w:t>
      </w:r>
    </w:p>
    <w:p w:rsidR="00FA6157" w:rsidRDefault="00FA6157">
      <w:pPr>
        <w:pStyle w:val="newncpi"/>
      </w:pPr>
      <w:r>
        <w:t>Учитывая новые мировые тренды, Беларусь в предстоящем пятилетии продолжит курс развития, основанный на национальных интересах.</w:t>
      </w:r>
    </w:p>
    <w:p w:rsidR="00FA6157" w:rsidRDefault="00FA6157">
      <w:pPr>
        <w:pStyle w:val="newncpi"/>
      </w:pPr>
      <w:r>
        <w:t>В условиях растущей конкуренции в мире определяющей для Беларуси становится стратегия развития, ориентированная на борьбу за внешние рынки и стимулирование внутреннего потребления. При сохраняющейся неопределенности в динамике внешних факторов деятельность государства в новом пятилетнем периоде будет направлена на снижение уязвимости экономики от внешних конъюнктурных колебаний и максимальное задействование внутренних резервов, развитие собственной индустрии высоких технологий и эффективное использование местных ресурсов.</w:t>
      </w:r>
    </w:p>
    <w:p w:rsidR="00FA6157" w:rsidRDefault="00FA6157">
      <w:pPr>
        <w:pStyle w:val="chapter"/>
      </w:pPr>
      <w:r>
        <w:t xml:space="preserve">ГЛАВА 4 </w:t>
      </w:r>
      <w:r>
        <w:br/>
        <w:t>ЦЕЛЬ И ЗАДАЧИ СОЦИАЛЬНО-ЭКОНОМИЧЕСКОГО РАЗВИТИЯ СТРАНЫ В СРЕДНЕСРОЧНОЙ ПЕРСПЕКТИВЕ</w:t>
      </w:r>
    </w:p>
    <w:p w:rsidR="00FA6157" w:rsidRDefault="00FA6157">
      <w:pPr>
        <w:pStyle w:val="newncpi"/>
      </w:pPr>
      <w:r>
        <w:t>Главная цель</w:t>
      </w:r>
      <w:r>
        <w:rPr>
          <w:b/>
          <w:bCs/>
        </w:rPr>
        <w:t xml:space="preserve"> </w:t>
      </w:r>
      <w:r>
        <w:t>развития страны на 2021–2025 годы</w:t>
      </w:r>
      <w:r>
        <w:rPr>
          <w:b/>
          <w:bCs/>
        </w:rPr>
        <w:t xml:space="preserve"> </w:t>
      </w:r>
      <w:r>
        <w:t>– обеспечение стабильности в обществе и рост благосостояния граждан за счет модернизации экономики, наращивания социального капитала, создания комфортных условий для жизни, работы и самореализации человека.</w:t>
      </w:r>
    </w:p>
    <w:p w:rsidR="00FA6157" w:rsidRDefault="00FA6157">
      <w:pPr>
        <w:pStyle w:val="newncpi"/>
      </w:pPr>
      <w:r>
        <w:t xml:space="preserve">Экономическая политика государства будет направлена на восстановление экономики и ее последующий устойчивый рост посредством стимулирования внутреннего потребления, запуска нового инвестиционного цикла, эффективной экспортной стратегии </w:t>
      </w:r>
      <w:r>
        <w:lastRenderedPageBreak/>
        <w:t>на основе внедрения инструментов финансовой и институциональной поддержки экспортеров всех форм собственности.</w:t>
      </w:r>
    </w:p>
    <w:p w:rsidR="00FA6157" w:rsidRDefault="00FA6157">
      <w:pPr>
        <w:pStyle w:val="newncpi"/>
      </w:pPr>
      <w:r>
        <w:t>Качественное развитие будет обеспечено путем повышения производительности труда и создания новых рабочих мест, увеличения емкости внутреннего рынка, улучшения деловой среды, снижения рисков и издержек инвесторов и бизнеса. В этих целях будет налажен более тесный диалог между обществом, бизнесом и государством.</w:t>
      </w:r>
    </w:p>
    <w:p w:rsidR="00FA6157" w:rsidRDefault="00FA6157">
      <w:pPr>
        <w:pStyle w:val="newncpi"/>
      </w:pPr>
      <w:r>
        <w:t>Не менее важно сократить зависимость экономического роста от углеводородного сырья, нарастить экспортный потенциал за счет высокотехнологичных товаров.</w:t>
      </w:r>
    </w:p>
    <w:p w:rsidR="00FA6157" w:rsidRDefault="00FA6157">
      <w:pPr>
        <w:pStyle w:val="newncpi"/>
      </w:pPr>
      <w:r>
        <w:t>Основные задачи пятилетия:</w:t>
      </w:r>
    </w:p>
    <w:p w:rsidR="00FA6157" w:rsidRDefault="00FA6157">
      <w:pPr>
        <w:pStyle w:val="newncpi"/>
      </w:pPr>
      <w:proofErr w:type="gramStart"/>
      <w:r>
        <w:t>обеспечить</w:t>
      </w:r>
      <w:proofErr w:type="gramEnd"/>
      <w:r>
        <w:t xml:space="preserve"> поступательный рост ВВП – не менее чем в 1,2 раза в реальном выражении в 2025 году к уровню 2020 года;</w:t>
      </w:r>
    </w:p>
    <w:p w:rsidR="00FA6157" w:rsidRDefault="00FA6157">
      <w:pPr>
        <w:pStyle w:val="newncpi"/>
      </w:pPr>
      <w:proofErr w:type="gramStart"/>
      <w:r>
        <w:t>укрепить</w:t>
      </w:r>
      <w:proofErr w:type="gramEnd"/>
      <w:r>
        <w:t xml:space="preserve"> здоровье нации и повысить ожидаемую продолжительность жизни до 76,5 года в 2025 году;</w:t>
      </w:r>
    </w:p>
    <w:p w:rsidR="00FA6157" w:rsidRDefault="00FA6157">
      <w:pPr>
        <w:pStyle w:val="newncpi"/>
      </w:pPr>
      <w:proofErr w:type="gramStart"/>
      <w:r>
        <w:t>увеличить</w:t>
      </w:r>
      <w:proofErr w:type="gramEnd"/>
      <w:r>
        <w:t xml:space="preserve"> реальные располагаемые денежные доходы населения за пятилетие в 1,2 раза, включая темп роста размеров пенсий выше уровня инфляции; создать условия для привлечения «длинных» денег в экономику, обеспечить рост инвестиций в основной капитал более чем в 1,2 раза к уровню 2020 года;</w:t>
      </w:r>
    </w:p>
    <w:p w:rsidR="00FA6157" w:rsidRDefault="00FA6157">
      <w:pPr>
        <w:pStyle w:val="newncpi"/>
      </w:pPr>
      <w:proofErr w:type="gramStart"/>
      <w:r>
        <w:t>увеличить</w:t>
      </w:r>
      <w:proofErr w:type="gramEnd"/>
      <w:r>
        <w:t xml:space="preserve"> экспорт товаров и услуг более чем на 50 млрд. долларов США в 2025 году, диверсифицировать его структуру;</w:t>
      </w:r>
    </w:p>
    <w:p w:rsidR="00FA6157" w:rsidRDefault="00FA6157">
      <w:pPr>
        <w:pStyle w:val="newncpi"/>
      </w:pPr>
      <w:proofErr w:type="gramStart"/>
      <w:r>
        <w:t>повысить</w:t>
      </w:r>
      <w:proofErr w:type="gramEnd"/>
      <w:r>
        <w:t xml:space="preserve"> конкурентоспособность производственного сектора экономики, обеспечить его финансовую устойчивость и создать новые высокотехнологичные производства;</w:t>
      </w:r>
    </w:p>
    <w:p w:rsidR="00FA6157" w:rsidRDefault="00FA6157">
      <w:pPr>
        <w:pStyle w:val="newncpi"/>
      </w:pPr>
      <w:proofErr w:type="gramStart"/>
      <w:r>
        <w:t>увеличить</w:t>
      </w:r>
      <w:proofErr w:type="gramEnd"/>
      <w:r>
        <w:t xml:space="preserve"> долю сферы услуг в ВВП до 50–51 процента, стимулировать ускоренное развитие наукоемких высокотехнологичных услуг;</w:t>
      </w:r>
    </w:p>
    <w:p w:rsidR="00FA6157" w:rsidRDefault="00FA6157">
      <w:pPr>
        <w:pStyle w:val="newncpi"/>
      </w:pPr>
      <w:proofErr w:type="gramStart"/>
      <w:r>
        <w:t>повысить</w:t>
      </w:r>
      <w:proofErr w:type="gramEnd"/>
      <w:r>
        <w:t xml:space="preserve"> качество образования и развить новые профессиональные компетенции в соответствии с потребностями экономики;</w:t>
      </w:r>
    </w:p>
    <w:p w:rsidR="00FA6157" w:rsidRDefault="00FA6157">
      <w:pPr>
        <w:pStyle w:val="newncpi"/>
      </w:pPr>
      <w:proofErr w:type="gramStart"/>
      <w:r>
        <w:t>обеспечить</w:t>
      </w:r>
      <w:proofErr w:type="gramEnd"/>
      <w:r>
        <w:t xml:space="preserve"> устойчивость бюджетной системы, развивать финансовый рынок;</w:t>
      </w:r>
    </w:p>
    <w:p w:rsidR="00FA6157" w:rsidRDefault="00FA6157">
      <w:pPr>
        <w:pStyle w:val="newncpi"/>
      </w:pPr>
      <w:proofErr w:type="gramStart"/>
      <w:r>
        <w:t>реализовать</w:t>
      </w:r>
      <w:proofErr w:type="gramEnd"/>
      <w:r>
        <w:t xml:space="preserve"> региональную политику, нацеленную на создание комфортной среды проживания и новых рабочих мест, гарантирующих достойную оплату за эффективный труд.</w:t>
      </w:r>
    </w:p>
    <w:p w:rsidR="00FA6157" w:rsidRDefault="00FA6157">
      <w:pPr>
        <w:pStyle w:val="newncpi"/>
      </w:pPr>
      <w:r>
        <w:t>Основные прогнозные показатели социально-экономического развития Республики Беларусь на 2021–2025 годы представлены в приложении 1.</w:t>
      </w:r>
    </w:p>
    <w:p w:rsidR="00FA6157" w:rsidRDefault="00FA6157">
      <w:pPr>
        <w:pStyle w:val="newncpi"/>
      </w:pPr>
      <w:r>
        <w:t>Приоритеты развития:</w:t>
      </w:r>
    </w:p>
    <w:p w:rsidR="00FA6157" w:rsidRDefault="00FA6157">
      <w:pPr>
        <w:pStyle w:val="newncpi"/>
      </w:pPr>
      <w:proofErr w:type="gramStart"/>
      <w:r>
        <w:t>счастливая</w:t>
      </w:r>
      <w:proofErr w:type="gramEnd"/>
      <w:r>
        <w:t xml:space="preserve"> семья – укрепление традиционных семейных ценностей, основанных на физическом и духовном благополучии человека, воспитании детей и молодежи, заботе о старшем поколении;</w:t>
      </w:r>
    </w:p>
    <w:p w:rsidR="00FA6157" w:rsidRDefault="00FA6157">
      <w:pPr>
        <w:pStyle w:val="newncpi"/>
      </w:pPr>
      <w:proofErr w:type="gramStart"/>
      <w:r>
        <w:t>сильные</w:t>
      </w:r>
      <w:proofErr w:type="gramEnd"/>
      <w:r>
        <w:t xml:space="preserve"> регионы – комфортные и безопасные условия жизни и труда, развитая социальная инфраструктура, высокая мобильность, инвестиции в новые эффективные производства;</w:t>
      </w:r>
    </w:p>
    <w:p w:rsidR="00FA6157" w:rsidRDefault="00FA6157">
      <w:pPr>
        <w:pStyle w:val="newncpi"/>
      </w:pPr>
      <w:proofErr w:type="gramStart"/>
      <w:r>
        <w:t>интеллектуальная</w:t>
      </w:r>
      <w:proofErr w:type="gramEnd"/>
      <w:r>
        <w:t xml:space="preserve"> страна – качественное и доступное образование, раскрытие личностного потенциала, развитие науки. Создание образовательной системы нового типа, нацеленной на воспитание гражданина, формирование его навыков и компетенций, в полной мере отвечающих потребностям экономики. Такая система будет основой для человека, способного ставить перед собой цели и достигать их, имея актуальные знания и умения, оставаясь востребованным в течение всего жизненного пути;</w:t>
      </w:r>
    </w:p>
    <w:p w:rsidR="00FA6157" w:rsidRDefault="00FA6157">
      <w:pPr>
        <w:pStyle w:val="newncpi"/>
      </w:pPr>
      <w:proofErr w:type="gramStart"/>
      <w:r>
        <w:t>государство</w:t>
      </w:r>
      <w:proofErr w:type="gramEnd"/>
      <w:r>
        <w:t>-партнер – укрепление диалога и взаимного доверия между государством и обществом, государством и человеком, государством и бизнесом.</w:t>
      </w:r>
    </w:p>
    <w:p w:rsidR="00FA6157" w:rsidRDefault="00FA6157">
      <w:pPr>
        <w:pStyle w:val="chapter"/>
      </w:pPr>
      <w:r>
        <w:t xml:space="preserve">ГЛАВА 5 </w:t>
      </w:r>
      <w:r>
        <w:br/>
        <w:t>УЛУЧШЕНИЕ КАЧЕСТВА ЖИЗНИ НАСЕЛЕНИЯ</w:t>
      </w:r>
    </w:p>
    <w:p w:rsidR="00FA6157" w:rsidRDefault="00FA6157">
      <w:pPr>
        <w:pStyle w:val="newncpi"/>
      </w:pPr>
      <w:r>
        <w:t xml:space="preserve">В предстоящем пятилетии деятельность государства будет сконцентрирована на повышении качества жизни населения за счет эффективной занятости, устойчивого </w:t>
      </w:r>
      <w:r>
        <w:lastRenderedPageBreak/>
        <w:t>роста доходов и улучшения социальной среды. В центре внимания – социальная безопасность и благополучие граждан.</w:t>
      </w:r>
    </w:p>
    <w:p w:rsidR="00FA6157" w:rsidRDefault="00FA6157">
      <w:pPr>
        <w:pStyle w:val="newncpi"/>
      </w:pPr>
      <w:r>
        <w:t> </w:t>
      </w:r>
    </w:p>
    <w:p w:rsidR="00FA6157" w:rsidRDefault="00FA6157">
      <w:pPr>
        <w:pStyle w:val="underpoint"/>
      </w:pPr>
      <w:r>
        <w:rPr>
          <w:b/>
          <w:bCs/>
        </w:rPr>
        <w:t>5.1. Укрепление демографического потенциала и здоровья нации</w:t>
      </w:r>
    </w:p>
    <w:p w:rsidR="00FA6157" w:rsidRDefault="00FA6157">
      <w:pPr>
        <w:pStyle w:val="newncpi"/>
      </w:pPr>
      <w:r>
        <w:t> </w:t>
      </w:r>
    </w:p>
    <w:p w:rsidR="00FA6157" w:rsidRDefault="00FA6157">
      <w:pPr>
        <w:pStyle w:val="newncpi"/>
      </w:pPr>
      <w:r>
        <w:t>Задачи демографической политики останутся неизменными: стабилизировать численность населения и создать условия для ее последующего роста. Ее ядром выступает семейная политика, направленная на укрепление института традиционной семьи и поддержку многодетных семей, охрану материнства и детства.</w:t>
      </w:r>
    </w:p>
    <w:p w:rsidR="00FA6157" w:rsidRDefault="00FA6157">
      <w:pPr>
        <w:pStyle w:val="newncpi"/>
      </w:pPr>
      <w:r>
        <w:t>В числе приоритетов – стимулирование рождаемости населения, реализация концептуального проекта «Многодетная Беларусь».</w:t>
      </w:r>
    </w:p>
    <w:p w:rsidR="00FA6157" w:rsidRDefault="00FA6157">
      <w:pPr>
        <w:pStyle w:val="newncpi"/>
      </w:pPr>
      <w:r>
        <w:t>Предусматривается усилить государственную поддержку семей с детьми, разработать дополнительные стимулы для рождения в семьях второго и последующих детей.</w:t>
      </w:r>
    </w:p>
    <w:p w:rsidR="00FA6157" w:rsidRDefault="00FA6157">
      <w:pPr>
        <w:pStyle w:val="newncpi"/>
      </w:pPr>
      <w:r>
        <w:t>Будет расширена программа семейного капитала и усовершенствована система государственных пособий.</w:t>
      </w:r>
    </w:p>
    <w:p w:rsidR="00FA6157" w:rsidRDefault="00FA6157">
      <w:pPr>
        <w:pStyle w:val="newncpi"/>
      </w:pPr>
      <w:r>
        <w:t>Намечено предоставить женщинам, родившим четверых детей, право на трудовую пенсию по возрасту без учета страхового стажа.</w:t>
      </w:r>
    </w:p>
    <w:p w:rsidR="00FA6157" w:rsidRDefault="00FA6157">
      <w:pPr>
        <w:pStyle w:val="newncpi"/>
      </w:pPr>
      <w:r>
        <w:t>Продолжится развитие семейных форм устройства по воспитанию детей-сирот и детей, оставшихся без попечения родителей.</w:t>
      </w:r>
    </w:p>
    <w:p w:rsidR="00FA6157" w:rsidRDefault="00FA6157">
      <w:pPr>
        <w:pStyle w:val="newncpi"/>
      </w:pPr>
      <w:r>
        <w:t>Одна из ключевых задач – нарастить объемы строительства жилья с государственной поддержкой для семей, воспитывающих троих и более детей. Каждой состоящей на учете нуждающихся в улучшении жилищных условий многодетной семье планируется предоставить возможность строительства жилья в течение одного года с даты принятия на учет. При этом будет сохранено право на льготные условия строительства жилья до исполнения старшему ребенку 23 лет.</w:t>
      </w:r>
    </w:p>
    <w:p w:rsidR="00FA6157" w:rsidRDefault="00FA6157">
      <w:pPr>
        <w:pStyle w:val="newncpi"/>
      </w:pPr>
      <w:r>
        <w:t>Повышению доступности жилья будет способствовать строительство арендного жилья с ежегодным вводом в эксплуатацию не менее 135 тыс. кв. метров (включая строящееся за счет республиканского и местных бюджетов – не менее 90 тыс. кв. метров), в том числе для предоставления семьям, воспитывающим одного или двоих детей. Для строительства жилья планируется использовать механизм жилищных строительных сбережений.</w:t>
      </w:r>
    </w:p>
    <w:p w:rsidR="00FA6157" w:rsidRDefault="00FA6157">
      <w:pPr>
        <w:pStyle w:val="newncpi"/>
      </w:pPr>
      <w:r>
        <w:t>При рождении третьего и последующих детей семьям будет предоставлена возможность получения на безвозмездной основе земельного участка для строительства на льготной основе индивидуального комфортного жилья с увеличением норм (метров на одного члена семьи) льготирования.</w:t>
      </w:r>
    </w:p>
    <w:p w:rsidR="00FA6157" w:rsidRDefault="00FA6157">
      <w:pPr>
        <w:pStyle w:val="newncpi"/>
      </w:pPr>
      <w:r>
        <w:t>Для гармоничного сочетания «семья – работа» и </w:t>
      </w:r>
      <w:r>
        <w:rPr>
          <w:b/>
          <w:bCs/>
          <w:i/>
          <w:iCs/>
        </w:rPr>
        <w:t xml:space="preserve">повышения экономической активности семьи </w:t>
      </w:r>
      <w:r>
        <w:t>предусматривается внедрение механизмов реинтеграции женщин на рынке труда, включая их переобучение, стимулирование развития семейного предпринимательства.</w:t>
      </w:r>
    </w:p>
    <w:p w:rsidR="00FA6157" w:rsidRDefault="00FA6157">
      <w:pPr>
        <w:pStyle w:val="newncpi"/>
      </w:pPr>
      <w:r>
        <w:t>Важным инструментом станет развитие гибких услуг по уходу за детьми раннего возраста с учетом потребностей семей, в том числе на условиях государственно-частного партнерства.</w:t>
      </w:r>
    </w:p>
    <w:p w:rsidR="00FA6157" w:rsidRDefault="00FA6157">
      <w:pPr>
        <w:pStyle w:val="newncpi"/>
      </w:pPr>
      <w:r>
        <w:t>Намечены меры по расширению инфраструктуры учреждений дошкольного образования.</w:t>
      </w:r>
    </w:p>
    <w:p w:rsidR="00FA6157" w:rsidRDefault="00FA6157">
      <w:pPr>
        <w:pStyle w:val="newncpi"/>
      </w:pPr>
      <w:r>
        <w:t>Предстоит усилить работу по популяризации семейных ценностей, обеспечить широкую рекламу позитивных семейных отношений и формирование умений и навыков конструктивного поведения в семье.</w:t>
      </w:r>
    </w:p>
    <w:p w:rsidR="00FA6157" w:rsidRDefault="00FA6157">
      <w:pPr>
        <w:pStyle w:val="newncpi"/>
      </w:pPr>
      <w:r>
        <w:t xml:space="preserve">В целях обеспечения информационной безопасности детства планируется реализовать программы обучения детей и подростков правилам безопасного поведения в интернет-пространстве, профилактики интернет-зависимости, предупреждения рисков вовлечения в противоправную деятельность, обучения алгоритмам безопасного поведения в различных ситуациях. Будет развиваться сеть образовательных центров и (или) имиджевых объектов </w:t>
      </w:r>
      <w:r>
        <w:lastRenderedPageBreak/>
        <w:t>(в каждом районе), ориентированных на обучение детей и подростков правилам безопасности жизнедеятельности.</w:t>
      </w:r>
    </w:p>
    <w:p w:rsidR="00FA6157" w:rsidRDefault="00FA6157">
      <w:pPr>
        <w:pStyle w:val="newncpi"/>
      </w:pPr>
      <w:r>
        <w:t>Для стабилизации численности населения предстоит разработать комплекс мер по сокращению эмиграционного оттока, прежде всего молодежи. Будут созданы благоприятные условия, обеспечивающие возвратный характер внешней миграции, а также стимулирующие приток в республику высококвалифицированных иностранных специалистов.</w:t>
      </w:r>
    </w:p>
    <w:p w:rsidR="00FA6157" w:rsidRDefault="00FA6157">
      <w:pPr>
        <w:pStyle w:val="newncpi"/>
      </w:pPr>
      <w:r>
        <w:t>Важным компонентом улучшения демографического воспроизводства выступает укрепление здоровья и снижение смертности населения. Политика государства в области</w:t>
      </w:r>
      <w:r>
        <w:rPr>
          <w:b/>
          <w:bCs/>
        </w:rPr>
        <w:t xml:space="preserve"> здравоохранения</w:t>
      </w:r>
      <w:r>
        <w:t xml:space="preserve"> нацелена на усиление охраны здоровья населения, повышение доступности и качества медицинской помощи</w:t>
      </w:r>
      <w:r>
        <w:rPr>
          <w:b/>
          <w:bCs/>
        </w:rPr>
        <w:t xml:space="preserve"> </w:t>
      </w:r>
      <w:r>
        <w:t>для всех граждан независимо от места проживания.</w:t>
      </w:r>
    </w:p>
    <w:p w:rsidR="00FA6157" w:rsidRDefault="00FA6157">
      <w:pPr>
        <w:pStyle w:val="newncpi"/>
      </w:pPr>
      <w:r>
        <w:t xml:space="preserve">Ключевая задача – </w:t>
      </w:r>
      <w:r>
        <w:rPr>
          <w:b/>
          <w:bCs/>
        </w:rPr>
        <w:t>усиление эпидемиологической безопасности и снижение уровня заболеваемости населения</w:t>
      </w:r>
      <w:r>
        <w:t>.</w:t>
      </w:r>
      <w:r>
        <w:rPr>
          <w:b/>
          <w:bCs/>
          <w:i/>
          <w:iCs/>
        </w:rPr>
        <w:t xml:space="preserve"> </w:t>
      </w:r>
    </w:p>
    <w:p w:rsidR="00FA6157" w:rsidRDefault="00FA6157">
      <w:pPr>
        <w:pStyle w:val="newncpi"/>
      </w:pPr>
      <w:r>
        <w:t>Планируется обеспечить всеобщий охват населения услугами первичной медицинской помощи, в том числе за счет усовершенствования диспансеризации и медицинских скринингов.</w:t>
      </w:r>
    </w:p>
    <w:p w:rsidR="00FA6157" w:rsidRDefault="00FA6157">
      <w:pPr>
        <w:pStyle w:val="newncpi"/>
      </w:pPr>
      <w:r>
        <w:t>В целях снижения рисков заболеваемости будет усилена профилактика неинфекционных (болезней системы кровообращения и органов дыхания, неврологических, онкологических и эндокринных заболеваний, травм) и инфекционных заболеваний.</w:t>
      </w:r>
    </w:p>
    <w:p w:rsidR="00FA6157" w:rsidRDefault="00FA6157">
      <w:pPr>
        <w:pStyle w:val="newncpi"/>
      </w:pPr>
      <w:r>
        <w:t>Среди первоочередных задач – организация бесплатной вакцинации жителей Беларуси от коронавируса, минимизация последствий коронавирусной инфекции у переболевших и обеспечение их реабилитации.</w:t>
      </w:r>
    </w:p>
    <w:p w:rsidR="00FA6157" w:rsidRDefault="00FA6157">
      <w:pPr>
        <w:pStyle w:val="newncpi"/>
      </w:pPr>
      <w:r>
        <w:t>Предстоит расширить объемы оказания высокотехнологичных видов медицинской помощи в области кардиохирургии, нейрохирургии и трансплантологии, травматологии и ортопедии, онкологии и пластической эстетической хирургии, а также стоматологии.</w:t>
      </w:r>
    </w:p>
    <w:p w:rsidR="00FA6157" w:rsidRDefault="00FA6157">
      <w:pPr>
        <w:pStyle w:val="newncpi"/>
      </w:pPr>
      <w:r>
        <w:t>Повышение ожидаемой продолжительности здоровой жизни будет обеспечиваться путем реализации мероприятий по снижению смертности от внешних причин через усиление охраны труда, профилактику дорожно-транспортного и бытового травматизма.</w:t>
      </w:r>
    </w:p>
    <w:p w:rsidR="00FA6157" w:rsidRDefault="00FA6157">
      <w:pPr>
        <w:pStyle w:val="newncpi"/>
      </w:pPr>
      <w:r>
        <w:t>Предусматривается принятие превентивных мер по недопущению формирования зависимости молодежи от психоактивных веществ, а также организация единой профилактической среды, направленной на уменьшение потребления населением табачной продукции.</w:t>
      </w:r>
    </w:p>
    <w:p w:rsidR="00FA6157" w:rsidRDefault="00FA6157">
      <w:pPr>
        <w:pStyle w:val="newncpi"/>
      </w:pPr>
      <w:r>
        <w:t xml:space="preserve">Не менее значимая задача – </w:t>
      </w:r>
      <w:r>
        <w:rPr>
          <w:b/>
          <w:bCs/>
          <w:i/>
          <w:iCs/>
        </w:rPr>
        <w:t>развитие инфраструктуры здравоохранения.</w:t>
      </w:r>
    </w:p>
    <w:p w:rsidR="00FA6157" w:rsidRDefault="00FA6157">
      <w:pPr>
        <w:pStyle w:val="newncpi"/>
      </w:pPr>
      <w:r>
        <w:t>В целях обеспечения шаговой доступности медицинской помощи предстоит построить и провести реконструкцию объектов первичной медицинской помощи. Намечено строительство 8 амбулаторно-поликлинических организаций здравоохранения (в городах Орше, Полоцке, Заславле, Смолевичах, Жодино, Несвиже, деревнях Озерцо и Боровляны Минского района), а также медицинского комплекса в Бресте, больниц в городах Заславле и Борисове, поселке Дружный Минского района. Появятся новые лечебные корпуса (профильные отделения) больниц в городах Бресте, Витебске, Гродно, Лиде, Заславле, Могилеве и агрогородке Лесной Минского района.</w:t>
      </w:r>
    </w:p>
    <w:p w:rsidR="00FA6157" w:rsidRDefault="00FA6157">
      <w:pPr>
        <w:pStyle w:val="newncpi"/>
      </w:pPr>
      <w:r>
        <w:t>Запланирована реконструкция лечебных корпусов клинического родильного дома в Минской области, центральных районных и городских больниц в городах Витебске, Гомеле, Гродно, Поставах и ряда иных учреждений здравоохранения.</w:t>
      </w:r>
    </w:p>
    <w:p w:rsidR="00FA6157" w:rsidRDefault="00FA6157">
      <w:pPr>
        <w:pStyle w:val="newncpi"/>
      </w:pPr>
      <w:r>
        <w:t>Намечено развитие мобильной медицины посредством внедрения передвижных медицинских комплексов.</w:t>
      </w:r>
    </w:p>
    <w:p w:rsidR="00FA6157" w:rsidRDefault="00FA6157">
      <w:pPr>
        <w:pStyle w:val="newncpi"/>
      </w:pPr>
      <w:r>
        <w:t>Продолжится работа по оснащению организаций здравоохранения диагностическим оборудованием (ангиографами, магнитно-резонансными и компьютерными томографами).</w:t>
      </w:r>
    </w:p>
    <w:p w:rsidR="00FA6157" w:rsidRDefault="00FA6157">
      <w:pPr>
        <w:pStyle w:val="newncpi"/>
      </w:pPr>
      <w:r>
        <w:t xml:space="preserve">Предусматривается создать 12 межрегиональных центров оказания специализированной медицинской помощи, в том числе в организациях здравоохранения </w:t>
      </w:r>
      <w:r>
        <w:lastRenderedPageBreak/>
        <w:t>районов с численностью населения 80 тысяч и более. На базе опорных больниц будут сформированы межрайонные (межрегиональные) специализированные центры по хирургии, травматологии и ортопедии, интервенционной кардиологии, а также по оказанию медицинской помощи пациентам с инсультом, черепно-мозговой травмой.</w:t>
      </w:r>
    </w:p>
    <w:p w:rsidR="00FA6157" w:rsidRDefault="00FA6157">
      <w:pPr>
        <w:pStyle w:val="newncpi"/>
      </w:pPr>
      <w:r>
        <w:t>Планируется расширить инфраструктуру высокотехнологичной медицинской помощи, в том числе:</w:t>
      </w:r>
    </w:p>
    <w:p w:rsidR="00FA6157" w:rsidRDefault="00FA6157">
      <w:pPr>
        <w:pStyle w:val="newncpi"/>
      </w:pPr>
      <w:proofErr w:type="gramStart"/>
      <w:r>
        <w:t>реализовать</w:t>
      </w:r>
      <w:proofErr w:type="gramEnd"/>
      <w:r>
        <w:t xml:space="preserve"> инновационный проект «РНПЦ «Кардиология» в г. Минске, направленный на широкое внедрение методов гибридной хирургии при проведении операций;</w:t>
      </w:r>
    </w:p>
    <w:p w:rsidR="00FA6157" w:rsidRDefault="00FA6157">
      <w:pPr>
        <w:pStyle w:val="newncpi"/>
      </w:pPr>
      <w:proofErr w:type="gramStart"/>
      <w:r>
        <w:t>построить</w:t>
      </w:r>
      <w:proofErr w:type="gramEnd"/>
      <w:r>
        <w:t xml:space="preserve"> блок трансплантации костного мозга и стволовых клеток в Минском научно-практическом центре хирургии, трансплантологии и гематологии, республиканский офтальмологический центр инновационных технологий (г. Минск).</w:t>
      </w:r>
    </w:p>
    <w:p w:rsidR="00FA6157" w:rsidRDefault="00FA6157">
      <w:pPr>
        <w:pStyle w:val="newncpi"/>
      </w:pPr>
      <w:r>
        <w:t>В Китайско-Белорусском индустриальном парке «Великий камень» (далее – индустриальный парк «Великий камень») появится центр традиционной китайской медицины.</w:t>
      </w:r>
    </w:p>
    <w:p w:rsidR="00FA6157" w:rsidRDefault="00FA6157">
      <w:pPr>
        <w:pStyle w:val="newncpi"/>
      </w:pPr>
      <w:r>
        <w:t>В целях создания комфортной среды для пациентов предстоит реализовать проект «Заботливая поликлиника», предусматривающий изменение работы регистратуры, четкую маршрутизацию пациентов, оптимизацию рабочих мест медицинских работников.</w:t>
      </w:r>
    </w:p>
    <w:p w:rsidR="00FA6157" w:rsidRDefault="00FA6157">
      <w:pPr>
        <w:pStyle w:val="newncpi"/>
      </w:pPr>
      <w:r>
        <w:t>Предполагается расширить объемы целевого обучения специалистов в сфере медицины по заявкам местных органов власти.</w:t>
      </w:r>
    </w:p>
    <w:p w:rsidR="00FA6157" w:rsidRDefault="00FA6157">
      <w:pPr>
        <w:pStyle w:val="newncpi"/>
      </w:pPr>
      <w:r>
        <w:t xml:space="preserve">Важным направлением совершенствования системы здравоохранения станет </w:t>
      </w:r>
      <w:r>
        <w:rPr>
          <w:b/>
          <w:bCs/>
          <w:i/>
          <w:iCs/>
        </w:rPr>
        <w:t>цифровизация медицины.</w:t>
      </w:r>
    </w:p>
    <w:p w:rsidR="00FA6157" w:rsidRDefault="00FA6157">
      <w:pPr>
        <w:pStyle w:val="newncpi"/>
      </w:pPr>
      <w:r>
        <w:t>Будет создана единая телекоммуникационная инфраструктура здравоохранения со 100-процентным включением в нее организаций здравоохранения, поэтапно освоены новые методы персонифицированной медицины с применением информационно-коммуникационных технологий.</w:t>
      </w:r>
    </w:p>
    <w:p w:rsidR="00FA6157" w:rsidRDefault="00FA6157">
      <w:pPr>
        <w:pStyle w:val="newncpi"/>
      </w:pPr>
      <w:r>
        <w:t>Предусматривается внедрение интеллектуальной системы для дистанционного мониторинга здоровья (телемедицина, роботизация проведения высокотехнологичных операций, мобильная цифровая транкинговая связь с созданием единой областной сети).</w:t>
      </w:r>
    </w:p>
    <w:p w:rsidR="00FA6157" w:rsidRDefault="00FA6157">
      <w:pPr>
        <w:pStyle w:val="newncpi"/>
      </w:pPr>
      <w:r>
        <w:t>В целях</w:t>
      </w:r>
      <w:r>
        <w:rPr>
          <w:b/>
          <w:bCs/>
          <w:i/>
          <w:iCs/>
        </w:rPr>
        <w:t xml:space="preserve"> повышения эффективности управления и финансовой устойчивости здравоохранения </w:t>
      </w:r>
      <w:r>
        <w:t>предстоит внедрить национальную систему медицинской аккредитации организаций здравоохранения. Получит развитие добровольное медицинское страхование населения.</w:t>
      </w:r>
    </w:p>
    <w:p w:rsidR="00FA6157" w:rsidRDefault="00FA6157">
      <w:pPr>
        <w:pStyle w:val="newncpi"/>
      </w:pPr>
      <w:r>
        <w:t>Планируется увеличить экспорт медицинских услуг не менее чем в 1,5 раза.</w:t>
      </w:r>
    </w:p>
    <w:p w:rsidR="00FA6157" w:rsidRDefault="00FA6157">
      <w:pPr>
        <w:pStyle w:val="newncpi"/>
      </w:pPr>
      <w:r>
        <w:t>Главным результатом реализации намеченных мер станет повышение ожидаемой продолжительности жизни населения до 76,5 года.</w:t>
      </w:r>
    </w:p>
    <w:p w:rsidR="00FA6157" w:rsidRDefault="00FA6157">
      <w:pPr>
        <w:pStyle w:val="newncpi"/>
      </w:pPr>
      <w:r>
        <w:t>Инструментом выполнения поставленных задач станет реализация</w:t>
      </w:r>
      <w:r>
        <w:rPr>
          <w:b/>
          <w:bCs/>
        </w:rPr>
        <w:t xml:space="preserve"> </w:t>
      </w:r>
      <w:r>
        <w:t>государственных программ на 2021–2025 годы «Здоровье народа и демографическая безопасность», «Строительство жилья», «Образование и молодежная политика», «Обеспечение правопорядка», «Рынок труда и содействие занятости».</w:t>
      </w:r>
    </w:p>
    <w:p w:rsidR="00FA6157" w:rsidRDefault="00FA6157">
      <w:pPr>
        <w:pStyle w:val="newncpi"/>
      </w:pPr>
      <w:r>
        <w:t> </w:t>
      </w:r>
    </w:p>
    <w:p w:rsidR="00FA6157" w:rsidRDefault="00FA6157">
      <w:pPr>
        <w:pStyle w:val="underpoint"/>
      </w:pPr>
      <w:r>
        <w:rPr>
          <w:b/>
          <w:bCs/>
        </w:rPr>
        <w:t>5.2. Содействие эффективной занятости</w:t>
      </w:r>
    </w:p>
    <w:p w:rsidR="00FA6157" w:rsidRDefault="00FA6157">
      <w:pPr>
        <w:pStyle w:val="newncpi"/>
      </w:pPr>
      <w:r>
        <w:t> </w:t>
      </w:r>
    </w:p>
    <w:p w:rsidR="00FA6157" w:rsidRDefault="00FA6157">
      <w:pPr>
        <w:pStyle w:val="newncpi"/>
      </w:pPr>
      <w:r>
        <w:t>Политика занятости будет нацелена на максимальное вовлечение трудоспособного населения в экономику, повышение эффективности использования трудового потенциала.</w:t>
      </w:r>
    </w:p>
    <w:p w:rsidR="00FA6157" w:rsidRDefault="00FA6157">
      <w:pPr>
        <w:pStyle w:val="newncpi"/>
      </w:pPr>
      <w:r>
        <w:t>Целевым ориентиром является уровень безработицы в трудоспособном возрасте (по методологии Международной организации труда) – не более 4,2 процента к концу 2025 года.</w:t>
      </w:r>
    </w:p>
    <w:p w:rsidR="00FA6157" w:rsidRDefault="00FA6157">
      <w:pPr>
        <w:pStyle w:val="newncpi"/>
      </w:pPr>
      <w:r>
        <w:t>Задача государства – создать условия для эффективной занятости и максимального вовлечения трудоспособных граждан в трудовую деятельность.</w:t>
      </w:r>
    </w:p>
    <w:p w:rsidR="00FA6157" w:rsidRDefault="00FA6157">
      <w:pPr>
        <w:pStyle w:val="newncpi"/>
      </w:pPr>
      <w:r>
        <w:t xml:space="preserve">В рамках модернизации коммерческих предприятий предстоит разработать планы их реструктуризации в целях оптимизации кадрового персонала, содействия занятости </w:t>
      </w:r>
      <w:r>
        <w:lastRenderedPageBreak/>
        <w:t>высвобождаемых работников и упреждающей их переподготовки для трудоустройства на новые рабочие места.</w:t>
      </w:r>
    </w:p>
    <w:p w:rsidR="00FA6157" w:rsidRDefault="00FA6157">
      <w:pPr>
        <w:pStyle w:val="newncpi"/>
      </w:pPr>
      <w:r>
        <w:t>Намечено провести кадровую диагностику в организациях бюджетной сферы для оптимизации численности и рационального использования персонала.</w:t>
      </w:r>
    </w:p>
    <w:p w:rsidR="00FA6157" w:rsidRDefault="00FA6157">
      <w:pPr>
        <w:pStyle w:val="newncpi"/>
      </w:pPr>
      <w:r>
        <w:t>Одна из ключевых задач – максимальное вовлечение в трудовую деятельность экономически не активного населения.</w:t>
      </w:r>
    </w:p>
    <w:p w:rsidR="00FA6157" w:rsidRDefault="00FA6157">
      <w:pPr>
        <w:pStyle w:val="newncpi"/>
      </w:pPr>
      <w:r>
        <w:t>Планируется расширить практику использования гибких (нестандартных) форм занятости населения в целях внедрения перспективных и востребованных на рынке труда форматов работы.</w:t>
      </w:r>
    </w:p>
    <w:p w:rsidR="00FA6157" w:rsidRDefault="00FA6157">
      <w:pPr>
        <w:pStyle w:val="newncpi"/>
      </w:pPr>
      <w:r>
        <w:t>Широкое развитие получат инклюзивные формы занятости, позволяющие интегрировать в сферу труда людей с инвалидностью, в том числе через механизм квотирования рабочих мест.</w:t>
      </w:r>
    </w:p>
    <w:p w:rsidR="00FA6157" w:rsidRDefault="00FA6157">
      <w:pPr>
        <w:pStyle w:val="newncpi"/>
      </w:pPr>
      <w:r>
        <w:t>Для сокращения профессионально-квалификационного дисбаланса будут внедряться профессиональные стандарты, а также развиваться ресурсные центры по наиболее востребованным на рынке труда профессиональным компетенциям.</w:t>
      </w:r>
    </w:p>
    <w:p w:rsidR="00FA6157" w:rsidRDefault="00FA6157">
      <w:pPr>
        <w:pStyle w:val="newncpi"/>
      </w:pPr>
      <w:r>
        <w:rPr>
          <w:b/>
          <w:bCs/>
          <w:i/>
          <w:iCs/>
        </w:rPr>
        <w:t>Цифровизация сферы труда</w:t>
      </w:r>
      <w:r>
        <w:t xml:space="preserve"> предполагает переход на электронный учет трудовой деятельности граждан. Создание информационной системы прогнозирования рынка труда позволит оценивать потребность экономики в кадрах для последующего формирования заказа на подготовку специалистов с необходимыми навыками и компетенциями.</w:t>
      </w:r>
    </w:p>
    <w:p w:rsidR="00FA6157" w:rsidRDefault="00FA6157">
      <w:pPr>
        <w:pStyle w:val="newncpi"/>
      </w:pPr>
      <w:r>
        <w:t>Инструментом выполнения намеченных задач станет реализация</w:t>
      </w:r>
      <w:r>
        <w:rPr>
          <w:b/>
          <w:bCs/>
        </w:rPr>
        <w:t xml:space="preserve"> </w:t>
      </w:r>
      <w:r>
        <w:t>Государственной программы «Рынок труда и содействие занятости» на 2021–2025 годы.</w:t>
      </w:r>
    </w:p>
    <w:p w:rsidR="00FA6157" w:rsidRDefault="00FA6157">
      <w:pPr>
        <w:pStyle w:val="newncpi"/>
      </w:pPr>
      <w:r>
        <w:t> </w:t>
      </w:r>
    </w:p>
    <w:p w:rsidR="00FA6157" w:rsidRDefault="00FA6157">
      <w:pPr>
        <w:pStyle w:val="underpoint"/>
      </w:pPr>
      <w:r>
        <w:rPr>
          <w:b/>
          <w:bCs/>
        </w:rPr>
        <w:t>5.3. Устойчивый рост доходов населения</w:t>
      </w:r>
    </w:p>
    <w:p w:rsidR="00FA6157" w:rsidRDefault="00FA6157">
      <w:pPr>
        <w:pStyle w:val="newncpi"/>
      </w:pPr>
      <w:r>
        <w:t> </w:t>
      </w:r>
    </w:p>
    <w:p w:rsidR="00FA6157" w:rsidRDefault="00FA6157">
      <w:pPr>
        <w:pStyle w:val="newncpi"/>
      </w:pPr>
      <w:r>
        <w:t>Одна из главных задач – обеспечить устойчивый рост реальной заработной платы и иных доходов населения. Это базовая основа для благополучной, качественной и безопасной жизни людей.</w:t>
      </w:r>
    </w:p>
    <w:p w:rsidR="00FA6157" w:rsidRDefault="00FA6157">
      <w:pPr>
        <w:pStyle w:val="newncpi"/>
      </w:pPr>
      <w:r>
        <w:t>В реальном секторе экономики сохранится принцип повышения зарплаты по мере роста производительности труда, на который будут ориентированы бизнес-планы всех субъектов хозяйствования.</w:t>
      </w:r>
    </w:p>
    <w:p w:rsidR="00FA6157" w:rsidRDefault="00FA6157">
      <w:pPr>
        <w:pStyle w:val="newncpi"/>
      </w:pPr>
      <w:r>
        <w:t>В коммерческих организациях производственной сферы, где заработная плата складывается ниже среднеотраслевого значения, предстоит разработать комплексы мер по сокращению этого разрыва со среднеотраслевым уровнем по соответствующему виду экономической деятельности, сложившимся за базовый год.</w:t>
      </w:r>
    </w:p>
    <w:p w:rsidR="00FA6157" w:rsidRDefault="00FA6157">
      <w:pPr>
        <w:pStyle w:val="newncpi"/>
      </w:pPr>
      <w:r>
        <w:t>Повышение заработной платы работников бюджетной сферы будет обеспечиваться за счет оптимизации структуры и численности работников бюджетных организаций, поэтапного увеличения базовой ставки и развития внебюджетной деятельности.</w:t>
      </w:r>
    </w:p>
    <w:p w:rsidR="00FA6157" w:rsidRDefault="00FA6157">
      <w:pPr>
        <w:pStyle w:val="newncpi"/>
      </w:pPr>
      <w:r>
        <w:t>Планируется увеличить заработную плату отдельным категориям работников бюджетной сферы в 1,5–2 раза (педагогическим работникам – до уровня средней заработной платы по стране, врачам – в 1,5 раза выше среднереспубликанского уровня, работникам сферы социального обслуживания и культуры – до 80 процентов от среднереспубликанского уровня заработной платы).</w:t>
      </w:r>
    </w:p>
    <w:p w:rsidR="00FA6157" w:rsidRDefault="00FA6157">
      <w:pPr>
        <w:pStyle w:val="newncpi"/>
      </w:pPr>
      <w:r>
        <w:t>Размер минимальной заработной платы составит не ниже 30 процентов прогнозного значения номинальной начисленной среднемесячной заработной платы по республике, определенного на соответствующий календарный год, начиная с 2022 года.</w:t>
      </w:r>
    </w:p>
    <w:p w:rsidR="00FA6157" w:rsidRDefault="00FA6157">
      <w:pPr>
        <w:pStyle w:val="newncpi"/>
      </w:pPr>
      <w:r>
        <w:t xml:space="preserve">В </w:t>
      </w:r>
      <w:r>
        <w:rPr>
          <w:b/>
          <w:bCs/>
          <w:i/>
          <w:iCs/>
        </w:rPr>
        <w:t>пенсионном обеспечении</w:t>
      </w:r>
      <w:r>
        <w:t xml:space="preserve"> предусматривается:</w:t>
      </w:r>
    </w:p>
    <w:p w:rsidR="00FA6157" w:rsidRDefault="00FA6157">
      <w:pPr>
        <w:pStyle w:val="newncpi"/>
      </w:pPr>
      <w:proofErr w:type="gramStart"/>
      <w:r>
        <w:t>развивать</w:t>
      </w:r>
      <w:proofErr w:type="gramEnd"/>
      <w:r>
        <w:t xml:space="preserve"> многоуровневую пенсионную систему, включающую государственное пенсионное обеспечение, профессиональное пенсионное страхование работников по условиям труда, корпоративные пенсионные программы нанимателей, частные пенсионные сбережения граждан;</w:t>
      </w:r>
    </w:p>
    <w:p w:rsidR="00FA6157" w:rsidRDefault="00FA6157">
      <w:pPr>
        <w:pStyle w:val="newncpi"/>
      </w:pPr>
      <w:proofErr w:type="gramStart"/>
      <w:r>
        <w:t>поэтапно</w:t>
      </w:r>
      <w:proofErr w:type="gramEnd"/>
      <w:r>
        <w:t xml:space="preserve"> внедрять новый механизм пенсионного обеспечения – добровольное накопительное страхование пенсии путем предоставления работнику права перечислять </w:t>
      </w:r>
      <w:r>
        <w:lastRenderedPageBreak/>
        <w:t>страховой взнос на личный пенсионный счет и дополнительного взноса в размере до 3 процентов от его заработной платы за счет средств нанимателя.</w:t>
      </w:r>
    </w:p>
    <w:p w:rsidR="00FA6157" w:rsidRDefault="00FA6157">
      <w:pPr>
        <w:pStyle w:val="newncpi"/>
      </w:pPr>
      <w:r>
        <w:t>Соотношение среднего размера государственной пенсии по возрасту и средней заработной платы работников будет поддерживаться на уровне не менее 40 процентов.</w:t>
      </w:r>
    </w:p>
    <w:p w:rsidR="00FA6157" w:rsidRDefault="00FA6157">
      <w:pPr>
        <w:pStyle w:val="newncpi"/>
      </w:pPr>
      <w:r>
        <w:t>Для стимулирования роста сбережений населения будут приняты меры по повышению привлекательности инструментов финансового рынка (банковские вклады, страховые накопления и другое) и финансовой грамотности населения.</w:t>
      </w:r>
    </w:p>
    <w:p w:rsidR="00FA6157" w:rsidRDefault="00FA6157">
      <w:pPr>
        <w:pStyle w:val="newncpi"/>
      </w:pPr>
      <w:r>
        <w:t>Основным результатом реализации намеченных мер станет рост реальных располагаемых денежных доходов населения в 1,2 раза.</w:t>
      </w:r>
    </w:p>
    <w:p w:rsidR="00FA6157" w:rsidRDefault="00FA6157">
      <w:pPr>
        <w:pStyle w:val="newncpi"/>
      </w:pPr>
      <w:r>
        <w:t> </w:t>
      </w:r>
    </w:p>
    <w:p w:rsidR="00FA6157" w:rsidRDefault="00FA6157">
      <w:pPr>
        <w:pStyle w:val="underpoint"/>
      </w:pPr>
      <w:r>
        <w:rPr>
          <w:b/>
          <w:bCs/>
        </w:rPr>
        <w:t>5.4. Обеспечение высоких гарантий социальной защиты населения</w:t>
      </w:r>
    </w:p>
    <w:p w:rsidR="00FA6157" w:rsidRDefault="00FA6157">
      <w:pPr>
        <w:pStyle w:val="newncpi"/>
      </w:pPr>
      <w:r>
        <w:t> </w:t>
      </w:r>
    </w:p>
    <w:p w:rsidR="00FA6157" w:rsidRDefault="00FA6157">
      <w:pPr>
        <w:pStyle w:val="newncpi"/>
      </w:pPr>
      <w:r>
        <w:t>Государственная политика в сфере социальной защиты населения будет направлена на обеспечение доступности социальной помощи, усиление ее адресности и повышение качества социальных услуг. При оказании социальной помощи государство будет ориентировано на индивидуальные потребности и условия жизни человека, попавшего в трудную жизненную ситуацию.</w:t>
      </w:r>
    </w:p>
    <w:p w:rsidR="00FA6157" w:rsidRDefault="00FA6157">
      <w:pPr>
        <w:pStyle w:val="newncpi"/>
      </w:pPr>
      <w:r>
        <w:t>Планируется предоставить дополнительные гарантии в области содействия занятости безработным гражданам за пять лет до достижения общеустановленного пенсионного возраста.</w:t>
      </w:r>
    </w:p>
    <w:p w:rsidR="00FA6157" w:rsidRDefault="00FA6157">
      <w:pPr>
        <w:pStyle w:val="newncpi"/>
      </w:pPr>
      <w:r>
        <w:t>Дальнейшее развитие получат стационарозамещающие технологии социального обслуживания – услуги сиделки, социальное обслуживание на дому, обслуживание одиноких пожилых граждан и лиц с инвалидностью в замещающих семьях.</w:t>
      </w:r>
    </w:p>
    <w:p w:rsidR="00FA6157" w:rsidRDefault="00FA6157">
      <w:pPr>
        <w:pStyle w:val="newncpi"/>
      </w:pPr>
      <w:r>
        <w:t>Планируется открыть не менее 25 структурных подразделений территориальных центров социального обслуживания населения, провести реконструкцию и капитальный ремонт не менее чем в 40 государственных учреждениях социального обслуживания.</w:t>
      </w:r>
    </w:p>
    <w:p w:rsidR="00FA6157" w:rsidRDefault="00FA6157">
      <w:pPr>
        <w:pStyle w:val="newncpi"/>
      </w:pPr>
      <w:r>
        <w:t>Предстоит усилить работу местных органов управления по оказанию социально-бытовой помощи и дополнительной социальной поддержки ветеранам войны, одиноким пожилым людям и другим социально уязвимым категориям граждан.</w:t>
      </w:r>
    </w:p>
    <w:p w:rsidR="00FA6157" w:rsidRDefault="00FA6157">
      <w:pPr>
        <w:pStyle w:val="newncpi"/>
      </w:pPr>
      <w:r>
        <w:t>В целях максимального охвата граждан социальной помощью к оказанию социальных услуг будут шире привлекаться некоммерческие общественные организации через механизм государственного социального заказа.</w:t>
      </w:r>
    </w:p>
    <w:p w:rsidR="00FA6157" w:rsidRDefault="00FA6157">
      <w:pPr>
        <w:pStyle w:val="newncpi"/>
      </w:pPr>
      <w:r>
        <w:t>Запланирован комплекс мер по обеспечению полноценного участия в жизни общества лиц с инвалидностью путем создания для них доступной среды, в том числе применения лестничных подъемников и иных конструктивных решений в жилищном фонде.</w:t>
      </w:r>
    </w:p>
    <w:p w:rsidR="00FA6157" w:rsidRDefault="00FA6157">
      <w:pPr>
        <w:pStyle w:val="newncpi"/>
      </w:pPr>
      <w:r>
        <w:t>В результате намеченных мер доля населения с доходами ниже бюджета прожиточного минимума (уровня малообеспеченности) составит не более 4,5 процента. Будет обеспечен 100-процентный охват обратившихся и имеющих право на получение государственной социальной помощи граждан, которым предоставлена государственная социальная защита.</w:t>
      </w:r>
    </w:p>
    <w:p w:rsidR="00FA6157" w:rsidRDefault="00FA6157">
      <w:pPr>
        <w:pStyle w:val="newncpi"/>
      </w:pPr>
      <w:r>
        <w:t>Инструментом выполнения намеченных задач станет</w:t>
      </w:r>
      <w:r>
        <w:rPr>
          <w:b/>
          <w:bCs/>
        </w:rPr>
        <w:t xml:space="preserve"> </w:t>
      </w:r>
      <w:r>
        <w:t>реализация государственных программ на 2021–2025 годы «Социальная защита» и «Рынок труда и содействие занятости».</w:t>
      </w:r>
    </w:p>
    <w:p w:rsidR="00FA6157" w:rsidRDefault="00FA6157">
      <w:pPr>
        <w:pStyle w:val="newncpi"/>
      </w:pPr>
      <w:r>
        <w:t> </w:t>
      </w:r>
    </w:p>
    <w:p w:rsidR="00FA6157" w:rsidRDefault="00FA6157">
      <w:pPr>
        <w:pStyle w:val="underpoint"/>
      </w:pPr>
      <w:r>
        <w:rPr>
          <w:b/>
          <w:bCs/>
        </w:rPr>
        <w:t>5.5. Повышение качества и доступности образования</w:t>
      </w:r>
    </w:p>
    <w:p w:rsidR="00FA6157" w:rsidRDefault="00FA6157">
      <w:pPr>
        <w:pStyle w:val="newncpi"/>
      </w:pPr>
      <w:r>
        <w:t> </w:t>
      </w:r>
    </w:p>
    <w:p w:rsidR="00FA6157" w:rsidRDefault="00FA6157">
      <w:pPr>
        <w:pStyle w:val="newncpi"/>
      </w:pPr>
      <w:r>
        <w:t>Основополагающим условием будущего экономического, политического и социально-культурного процветания страны выступает повышение конкурентоспособности образования.</w:t>
      </w:r>
    </w:p>
    <w:p w:rsidR="00FA6157" w:rsidRDefault="00FA6157">
      <w:pPr>
        <w:pStyle w:val="newncpi"/>
      </w:pPr>
      <w:r>
        <w:t xml:space="preserve">Деятельность государства в сфере образования будет нацелена на содействие развитию личностного потенциала подрастающего поколения, обеспечение равного </w:t>
      </w:r>
      <w:r>
        <w:lastRenderedPageBreak/>
        <w:t>доступа к качественному образованию, высокого уровня знаний, навыков и компетенций, в полной мере отвечающих потребностям экономики.</w:t>
      </w:r>
    </w:p>
    <w:p w:rsidR="00FA6157" w:rsidRDefault="00FA6157">
      <w:pPr>
        <w:pStyle w:val="newncpi"/>
      </w:pPr>
      <w:r>
        <w:t xml:space="preserve">Развитие </w:t>
      </w:r>
      <w:r>
        <w:rPr>
          <w:b/>
          <w:bCs/>
          <w:i/>
          <w:iCs/>
        </w:rPr>
        <w:t>дошкольного образования</w:t>
      </w:r>
      <w:r>
        <w:t xml:space="preserve"> будет ориентировано на предоставление доступных и высококачественных услуг с учетом возрастных и индивидуальных особенностей ребенка, а не только на подготовку к школе. В 2025 году доля детей от 1 до 6 лет, получающих дошкольное образование, составит не менее 85 процентов.</w:t>
      </w:r>
    </w:p>
    <w:p w:rsidR="00FA6157" w:rsidRDefault="00FA6157">
      <w:pPr>
        <w:pStyle w:val="newncpi"/>
      </w:pPr>
      <w:r>
        <w:t>Предусматривается усовершенствовать формы и методы работы с детьми, обеспечить индивидуализацию образовательного процесса в учреждениях дошкольного образования как базы будущего «социального лифта».</w:t>
      </w:r>
    </w:p>
    <w:p w:rsidR="00FA6157" w:rsidRDefault="00FA6157">
      <w:pPr>
        <w:pStyle w:val="newncpi"/>
      </w:pPr>
      <w:r>
        <w:t>Важно сохранить 100-процентный объем охвата детей пятилетнего возраста подготовкой к обучению на I ступени общего среднего образования.</w:t>
      </w:r>
    </w:p>
    <w:p w:rsidR="00FA6157" w:rsidRDefault="00FA6157">
      <w:pPr>
        <w:pStyle w:val="newncpi"/>
      </w:pPr>
      <w:r>
        <w:t>Планируется расширить спектр образовательных услуг.</w:t>
      </w:r>
    </w:p>
    <w:p w:rsidR="00FA6157" w:rsidRDefault="00FA6157">
      <w:pPr>
        <w:pStyle w:val="newncpi"/>
      </w:pPr>
      <w:r>
        <w:t>Доступность дошкольного образования будет обеспечена путем строительства новых учреждений образования во всех регионах Беларуси. К концу 2025 года намечено построить не менее 90 учреждений дошкольного образования, в том числе в городах Минске, Солигорске, Бресте, Барановичах, Жабинке, Орше, Речице, Шклове, в Минском, Дзержинском и Пуховичском районах.</w:t>
      </w:r>
    </w:p>
    <w:p w:rsidR="00FA6157" w:rsidRDefault="00FA6157">
      <w:pPr>
        <w:pStyle w:val="newncpi"/>
      </w:pPr>
      <w:r>
        <w:t>В</w:t>
      </w:r>
      <w:r>
        <w:rPr>
          <w:b/>
          <w:bCs/>
          <w:i/>
          <w:iCs/>
        </w:rPr>
        <w:t xml:space="preserve"> системе</w:t>
      </w:r>
      <w:r>
        <w:t xml:space="preserve"> </w:t>
      </w:r>
      <w:r>
        <w:rPr>
          <w:b/>
          <w:bCs/>
          <w:i/>
          <w:iCs/>
        </w:rPr>
        <w:t xml:space="preserve">общего среднего образования </w:t>
      </w:r>
      <w:r>
        <w:t>будет продолжена работа по повышению гибкости и вариативности учебных планов, что позволит выстроить индивидуальную образовательную траекторию учащихся, способствующую их ранней профессиональной ориентации и профессиональному самоопределению. В этих целях предстоит:</w:t>
      </w:r>
    </w:p>
    <w:p w:rsidR="00FA6157" w:rsidRDefault="00FA6157">
      <w:pPr>
        <w:pStyle w:val="newncpi"/>
      </w:pPr>
      <w:proofErr w:type="gramStart"/>
      <w:r>
        <w:t>реализовать</w:t>
      </w:r>
      <w:proofErr w:type="gramEnd"/>
      <w:r>
        <w:t xml:space="preserve"> STEM-подход к допрофильной подготовке и профильному обучению учащихся учреждений общего среднего образования (далее – УОСО), что позволит увеличить количество обучающихся в профильных классах технико-технологической направленности до 50 процентов;</w:t>
      </w:r>
    </w:p>
    <w:p w:rsidR="00FA6157" w:rsidRDefault="00FA6157">
      <w:pPr>
        <w:pStyle w:val="newncpi"/>
      </w:pPr>
      <w:proofErr w:type="gramStart"/>
      <w:r>
        <w:t>обеспечить</w:t>
      </w:r>
      <w:proofErr w:type="gramEnd"/>
      <w:r>
        <w:t xml:space="preserve"> 100-процентный охват учащихся базовых 10–11 классов профессиональной подготовкой (за исключением освобожденных от профессиональной подготовки по медицинским показаниям);</w:t>
      </w:r>
    </w:p>
    <w:p w:rsidR="00FA6157" w:rsidRDefault="00FA6157">
      <w:pPr>
        <w:pStyle w:val="newncpi"/>
      </w:pPr>
      <w:proofErr w:type="gramStart"/>
      <w:r>
        <w:t>создать</w:t>
      </w:r>
      <w:proofErr w:type="gramEnd"/>
      <w:r>
        <w:t xml:space="preserve"> практико-ориентированную среду (экспериментальные площадки, лаборатории, учебно-опытные участки), сформировать у учащихся инновационные навыки.</w:t>
      </w:r>
    </w:p>
    <w:p w:rsidR="00FA6157" w:rsidRDefault="00FA6157">
      <w:pPr>
        <w:pStyle w:val="newncpi"/>
      </w:pPr>
      <w:r>
        <w:t>Изучение народных традиций, истории и основ культурных ценностей страны, привитие уважительного отношения к религии будут способствовать духовно-нравственному воспитанию молодежи.</w:t>
      </w:r>
    </w:p>
    <w:p w:rsidR="00FA6157" w:rsidRDefault="00FA6157">
      <w:pPr>
        <w:pStyle w:val="newncpi"/>
      </w:pPr>
      <w:r>
        <w:t>Предусматривается исключить практику выполнения учителями не свойственных им функций, сократить документооборот в учреждениях образования.</w:t>
      </w:r>
    </w:p>
    <w:p w:rsidR="00FA6157" w:rsidRDefault="00FA6157">
      <w:pPr>
        <w:pStyle w:val="newncpi"/>
      </w:pPr>
      <w:r>
        <w:t>Намечено построить либо реконструировать не менее 45 УОСО, в том числе в городах Минске, Гомеле, Бобруйске, Столбцах, Фаниполе, Молодечно, Барановичах, Кобрине, Столине.</w:t>
      </w:r>
    </w:p>
    <w:p w:rsidR="00FA6157" w:rsidRDefault="00FA6157">
      <w:pPr>
        <w:pStyle w:val="newncpi"/>
      </w:pPr>
      <w:r>
        <w:t>Не менее 80 процентов УОСО будут оснащены современным учебным оборудованием и средствами обучения, в том числе для создания инклюзивной образовательной среды.</w:t>
      </w:r>
    </w:p>
    <w:p w:rsidR="00FA6157" w:rsidRDefault="00FA6157">
      <w:pPr>
        <w:pStyle w:val="newncpi"/>
      </w:pPr>
      <w:r>
        <w:t>Предстоит развивать эффективные формы и методы работы с детьми с особенностями психофизического развития, обеспечить 100-процентный охват необходимой помощью за счет вариативности учебных планов и учебных программ, усовершенствовать систему ранней комплексной помощи таким детям.</w:t>
      </w:r>
    </w:p>
    <w:p w:rsidR="00FA6157" w:rsidRDefault="00FA6157">
      <w:pPr>
        <w:pStyle w:val="newncpi"/>
      </w:pPr>
      <w:r>
        <w:t>В системе</w:t>
      </w:r>
      <w:r>
        <w:rPr>
          <w:b/>
          <w:bCs/>
          <w:i/>
          <w:iCs/>
        </w:rPr>
        <w:t xml:space="preserve"> профессионального образования </w:t>
      </w:r>
      <w:r>
        <w:t>продолжится работа по развитию национальной системы квалификаций, внедрению в учебный процесс новых образовательных стандартов и современных технологий обучения. Обновление программ подготовки специалистов будет осуществляться с учетом необходимых для экономики профессиональных компетенций. Планируется ежегодное обновление образовательных стандартов: не менее 8 процентов для специальностей профессионально-технического образования, 9 процентов – среднего специального образования, 10 процентов – высшего образования.</w:t>
      </w:r>
    </w:p>
    <w:p w:rsidR="00FA6157" w:rsidRDefault="00FA6157">
      <w:pPr>
        <w:pStyle w:val="newncpi"/>
      </w:pPr>
      <w:r>
        <w:lastRenderedPageBreak/>
        <w:t>Критерием качества образования станет вхождение не менее 30 процентов учреждений высшего образования республики в 5000 лучших университетов мира согласно международным рейтингам.</w:t>
      </w:r>
    </w:p>
    <w:p w:rsidR="00FA6157" w:rsidRDefault="00FA6157">
      <w:pPr>
        <w:pStyle w:val="newncpi"/>
      </w:pPr>
      <w:r>
        <w:t xml:space="preserve">Будет усилена </w:t>
      </w:r>
      <w:r>
        <w:rPr>
          <w:b/>
          <w:bCs/>
        </w:rPr>
        <w:t>практикоориентированность</w:t>
      </w:r>
      <w:r>
        <w:t xml:space="preserve"> </w:t>
      </w:r>
      <w:r>
        <w:rPr>
          <w:b/>
          <w:bCs/>
        </w:rPr>
        <w:t>образовательного процесса</w:t>
      </w:r>
      <w:r>
        <w:t>, укреплено партнерство учреждений образования с научными организациями и бизнес-сообществом, налажено сетевое взаимодействие между учреждениями образования различных типов. Планируется создать научно-производственные кластеры с участием ведущих университетов.</w:t>
      </w:r>
    </w:p>
    <w:p w:rsidR="00FA6157" w:rsidRDefault="00FA6157">
      <w:pPr>
        <w:pStyle w:val="newncpi"/>
      </w:pPr>
      <w:r>
        <w:t>Предполагается оптимизировать формат вступительной кампании в учреждениях высшего образования исходя из преимуществ тестирования и собеседования.</w:t>
      </w:r>
    </w:p>
    <w:p w:rsidR="00FA6157" w:rsidRDefault="00FA6157">
      <w:pPr>
        <w:pStyle w:val="newncpi"/>
      </w:pPr>
      <w:r>
        <w:t>Важный вектор – создание современной качественной образовательной среды. В этих целях предусматриваются модернизация инфраструктуры учреждений профессионального образования, оснащение их современным оборудованием и обеспечение компьютерными классами.</w:t>
      </w:r>
    </w:p>
    <w:p w:rsidR="00FA6157" w:rsidRDefault="00FA6157">
      <w:pPr>
        <w:pStyle w:val="newncpi"/>
      </w:pPr>
      <w:r>
        <w:t>Продолжится работа по реконструкции учреждений профессионального образования, строительству и ремонту общежитий для обучающихся.</w:t>
      </w:r>
    </w:p>
    <w:p w:rsidR="00FA6157" w:rsidRDefault="00FA6157">
      <w:pPr>
        <w:pStyle w:val="newncpi"/>
      </w:pPr>
      <w:r>
        <w:t>Будут созданы современные учебно-лабораторные подразделения, центры коллективного пользования учебным и научным оборудованием, в том числе для обучения лиц с особенностями психофизического развития.</w:t>
      </w:r>
    </w:p>
    <w:p w:rsidR="00FA6157" w:rsidRDefault="00FA6157">
      <w:pPr>
        <w:pStyle w:val="newncpi"/>
      </w:pPr>
      <w:r>
        <w:t>Предстоит сформировать цифровой образовательный контент для интерактивного и дистанционного обучения.</w:t>
      </w:r>
    </w:p>
    <w:p w:rsidR="00FA6157" w:rsidRDefault="00FA6157">
      <w:pPr>
        <w:pStyle w:val="newncpi"/>
      </w:pPr>
      <w:r>
        <w:t>Получат развитие ресурсные центры по новым профессиональным компетенциям, в том числе с организацией обучения профессиональному мастерству по стандартам «Worldskills». Ежегодная модернизация и оснащение современными средствами обучения планируются не менее чем в 5 ресурсных центрах.</w:t>
      </w:r>
    </w:p>
    <w:p w:rsidR="00FA6157" w:rsidRDefault="00FA6157">
      <w:pPr>
        <w:pStyle w:val="newncpi"/>
      </w:pPr>
      <w:r>
        <w:t>Предполагается ввести институт независимой оценки качества высшего образования.</w:t>
      </w:r>
    </w:p>
    <w:p w:rsidR="00FA6157" w:rsidRDefault="00FA6157">
      <w:pPr>
        <w:pStyle w:val="newncpi"/>
      </w:pPr>
      <w:r>
        <w:t>В</w:t>
      </w:r>
      <w:r>
        <w:rPr>
          <w:b/>
          <w:bCs/>
          <w:i/>
          <w:iCs/>
        </w:rPr>
        <w:t xml:space="preserve"> дополнительном образовании взрослых</w:t>
      </w:r>
      <w:r>
        <w:t xml:space="preserve"> будут адаптированы программы обучения лиц 55 лет и старше, в том числе основам предпринимательской деятельности.</w:t>
      </w:r>
    </w:p>
    <w:p w:rsidR="00FA6157" w:rsidRDefault="00FA6157">
      <w:pPr>
        <w:pStyle w:val="newncpi"/>
      </w:pPr>
      <w:r>
        <w:t>Предстоит внедрить современные программы обучения в сфере бизнес-образования, подготовки (переподготовки) руководящих кадров новой формации, способных отвечать на вызовы нового социально-технологического уклада.</w:t>
      </w:r>
    </w:p>
    <w:p w:rsidR="00FA6157" w:rsidRDefault="00FA6157">
      <w:pPr>
        <w:pStyle w:val="newncpi"/>
      </w:pPr>
      <w:r>
        <w:t>Удельный вес учреждений образования, реализующих образовательные программы повышения квалификации руководящих работников и специалистов в дистанционной форме получения образования в 2025 году, достигнет 50 процентов.</w:t>
      </w:r>
    </w:p>
    <w:p w:rsidR="00FA6157" w:rsidRDefault="00FA6157">
      <w:pPr>
        <w:pStyle w:val="newncpi"/>
      </w:pPr>
      <w:r>
        <w:t>В целях развития</w:t>
      </w:r>
      <w:r>
        <w:rPr>
          <w:b/>
          <w:bCs/>
          <w:i/>
          <w:iCs/>
        </w:rPr>
        <w:t xml:space="preserve"> дополнительного образования детей и молодежи </w:t>
      </w:r>
      <w:r>
        <w:t>предстоит усовершенствовать систему выявления, учета, социальной поддержки одаренной и талантливой молодежи.</w:t>
      </w:r>
    </w:p>
    <w:p w:rsidR="00FA6157" w:rsidRDefault="00FA6157">
      <w:pPr>
        <w:pStyle w:val="newncpi"/>
      </w:pPr>
      <w:r>
        <w:t>Намечено обеспечить организационное, педагогическое, информационное, консультационное сопровождение одаренных и талантливых учащихся посредством сетевого взаимодействия УО «Национальный детский технопарк» и региональных учреждений дополнительного образования детей и молодежи. В работе с учащимися предполагается активно использовать ресурсную базу предприятий, научных организаций, учреждений образования региона.</w:t>
      </w:r>
    </w:p>
    <w:p w:rsidR="00FA6157" w:rsidRDefault="00FA6157">
      <w:pPr>
        <w:pStyle w:val="newncpi"/>
      </w:pPr>
      <w:r>
        <w:t>Инструментом выполнения данных задач станет</w:t>
      </w:r>
      <w:r>
        <w:rPr>
          <w:b/>
          <w:bCs/>
        </w:rPr>
        <w:t xml:space="preserve"> </w:t>
      </w:r>
      <w:r>
        <w:t>реализация</w:t>
      </w:r>
      <w:r>
        <w:rPr>
          <w:b/>
          <w:bCs/>
        </w:rPr>
        <w:t xml:space="preserve"> </w:t>
      </w:r>
      <w:r>
        <w:t>Государственной программы «Образование и молодежная политика» на 2021–2025 годы.</w:t>
      </w:r>
    </w:p>
    <w:p w:rsidR="00FA6157" w:rsidRDefault="00FA6157">
      <w:pPr>
        <w:pStyle w:val="newncpi"/>
      </w:pPr>
      <w:r>
        <w:t> </w:t>
      </w:r>
    </w:p>
    <w:p w:rsidR="00FA6157" w:rsidRDefault="00FA6157">
      <w:pPr>
        <w:pStyle w:val="underpoint"/>
      </w:pPr>
      <w:r>
        <w:rPr>
          <w:b/>
          <w:bCs/>
        </w:rPr>
        <w:t>5.6. Раскрытие культурного потенциала</w:t>
      </w:r>
    </w:p>
    <w:p w:rsidR="00FA6157" w:rsidRDefault="00FA6157">
      <w:pPr>
        <w:pStyle w:val="newncpi"/>
      </w:pPr>
      <w:r>
        <w:t> </w:t>
      </w:r>
    </w:p>
    <w:p w:rsidR="00FA6157" w:rsidRDefault="00FA6157">
      <w:pPr>
        <w:pStyle w:val="newncpi"/>
      </w:pPr>
      <w:r>
        <w:t>Развитие культуры будет ориентировано на сохранение и приумножение национальных культурных ценностей и традиций, национальной идентичности и самобытности, культурного кода белорусской нации.</w:t>
      </w:r>
    </w:p>
    <w:p w:rsidR="00FA6157" w:rsidRDefault="00FA6157">
      <w:pPr>
        <w:pStyle w:val="newncpi"/>
      </w:pPr>
      <w:r>
        <w:lastRenderedPageBreak/>
        <w:t>Задача государства – обеспечить максимально полное удовлетворение потребности граждан в доступе к культурным благам. Для этого предусматривается проведение ремонтно-реставрационных работ объектов историко-культурного наследия с привлечением частных инвестиций. Планируется завершить создание музейного квартала Национального художественного музея Республики Беларусь, реконструкцию и реставрацию Спасо-Преображенской церкви в г. Полоцке, дворцово-паркового ансамбля в деревне Жиличи Кировского района Могилевской области, Кревского замка в Гродненской области.</w:t>
      </w:r>
    </w:p>
    <w:p w:rsidR="00FA6157" w:rsidRDefault="00FA6157">
      <w:pPr>
        <w:pStyle w:val="newncpi"/>
      </w:pPr>
      <w:r>
        <w:t>Формирование электронных каталогов историко-культурных памятников Республики Беларусь позволит обеспечить свободный доступ всех граждан к информации об историко-культурных ценностях.</w:t>
      </w:r>
    </w:p>
    <w:p w:rsidR="00FA6157" w:rsidRDefault="00FA6157">
      <w:pPr>
        <w:pStyle w:val="newncpi"/>
      </w:pPr>
      <w:r>
        <w:t>Намечено создать онлайн-площадки для демонстрации культурных событий (мероприятий), расширить применение средств дополненной и виртуальной реальности, внедрить иные цифровые решения для популяризации белорусского искусства, в том числе за рубежом.</w:t>
      </w:r>
    </w:p>
    <w:p w:rsidR="00FA6157" w:rsidRDefault="00FA6157">
      <w:pPr>
        <w:pStyle w:val="newncpi"/>
      </w:pPr>
      <w:r>
        <w:t>Продолжится работа по оснащению организаций сферы культуры современными цифровыми системами, свето- и звукоаппаратурой, по обеспечению 100-процентной оцифровки кинофонда.</w:t>
      </w:r>
    </w:p>
    <w:p w:rsidR="00FA6157" w:rsidRDefault="00FA6157">
      <w:pPr>
        <w:pStyle w:val="newncpi"/>
      </w:pPr>
      <w:r>
        <w:t>Совершенствование музейной деятельности потребует внедрения новых форм обслуживания с использованием современных трехмерных технологий, программ виртуальной и дополненной реальности.</w:t>
      </w:r>
    </w:p>
    <w:p w:rsidR="00FA6157" w:rsidRDefault="00FA6157">
      <w:pPr>
        <w:pStyle w:val="newncpi"/>
      </w:pPr>
      <w:r>
        <w:t>Важное направление деятельности – создание национальных культурных брендов, развитие народных промыслов и ремесел, организация экскурсий, фестивалей народного творчества, в том числе «Дрибинские торжки», праздника средневековой культуры «Рыцарский фест» (г. Мстиславль), международного фестиваля фольклора в г. Иваново, экскурсии в Ветковский музей старообрядчества и белорусских традиций им. Ф.Г.Шклярова.</w:t>
      </w:r>
    </w:p>
    <w:p w:rsidR="00FA6157" w:rsidRDefault="00FA6157">
      <w:pPr>
        <w:pStyle w:val="newncpi"/>
      </w:pPr>
      <w:r>
        <w:t>Ожидаемые результаты:</w:t>
      </w:r>
    </w:p>
    <w:p w:rsidR="00FA6157" w:rsidRDefault="00FA6157">
      <w:pPr>
        <w:pStyle w:val="newncpi"/>
      </w:pPr>
      <w:proofErr w:type="gramStart"/>
      <w:r>
        <w:t>число</w:t>
      </w:r>
      <w:proofErr w:type="gramEnd"/>
      <w:r>
        <w:t xml:space="preserve"> посещений организаций культуры на 1 тыс. человек населения – не менее 5070 посещений в 2025 году;</w:t>
      </w:r>
    </w:p>
    <w:p w:rsidR="00FA6157" w:rsidRDefault="00FA6157">
      <w:pPr>
        <w:pStyle w:val="newncpi"/>
      </w:pPr>
      <w:proofErr w:type="gramStart"/>
      <w:r>
        <w:t>количество</w:t>
      </w:r>
      <w:proofErr w:type="gramEnd"/>
      <w:r>
        <w:t xml:space="preserve"> нематериальных историко-культурных ценностей, включенных в Государственный список историко-культурных ценностей Республики Беларусь, – не менее 165 проявлений творчества человека;</w:t>
      </w:r>
    </w:p>
    <w:p w:rsidR="00FA6157" w:rsidRDefault="00FA6157">
      <w:pPr>
        <w:pStyle w:val="newncpi"/>
      </w:pPr>
      <w:proofErr w:type="gramStart"/>
      <w:r>
        <w:t>доля</w:t>
      </w:r>
      <w:proofErr w:type="gramEnd"/>
      <w:r>
        <w:t xml:space="preserve"> кинозалов в кинотеатрах, оснащенных цифровым кинооборудованием, – 100 процентов в 2025 году.</w:t>
      </w:r>
    </w:p>
    <w:p w:rsidR="00FA6157" w:rsidRDefault="00FA6157">
      <w:pPr>
        <w:pStyle w:val="newncpi"/>
      </w:pPr>
      <w:r>
        <w:t>Инструментом выполнения данных задач станет реализация</w:t>
      </w:r>
      <w:r>
        <w:rPr>
          <w:b/>
          <w:bCs/>
        </w:rPr>
        <w:t xml:space="preserve"> </w:t>
      </w:r>
      <w:r>
        <w:t>Государственной программы «Культура Беларуси» на 2021–2025 годы.</w:t>
      </w:r>
    </w:p>
    <w:p w:rsidR="00FA6157" w:rsidRDefault="00FA6157">
      <w:pPr>
        <w:pStyle w:val="newncpi"/>
      </w:pPr>
      <w:r>
        <w:t> </w:t>
      </w:r>
    </w:p>
    <w:p w:rsidR="00FA6157" w:rsidRDefault="00FA6157">
      <w:pPr>
        <w:pStyle w:val="underpoint"/>
      </w:pPr>
      <w:r>
        <w:rPr>
          <w:b/>
          <w:bCs/>
        </w:rPr>
        <w:t>5.7. Развитие физической культуры и спорта</w:t>
      </w:r>
    </w:p>
    <w:p w:rsidR="00FA6157" w:rsidRDefault="00FA6157">
      <w:pPr>
        <w:pStyle w:val="newncpi"/>
      </w:pPr>
      <w:r>
        <w:t> </w:t>
      </w:r>
    </w:p>
    <w:p w:rsidR="00FA6157" w:rsidRDefault="00FA6157">
      <w:pPr>
        <w:pStyle w:val="newncpi"/>
      </w:pPr>
      <w:r>
        <w:t>Развитие услуг физической культуры и спорта будет нацелено на приобщение населения к регулярным занятиям физической культурой и спортом, сохранение устойчивой позиции Беларуси в числе сильнейших спортивных государств.</w:t>
      </w:r>
    </w:p>
    <w:p w:rsidR="00FA6157" w:rsidRDefault="00FA6157">
      <w:pPr>
        <w:pStyle w:val="newncpi"/>
      </w:pPr>
      <w:r>
        <w:t>Основные усилия будут направлены на формирование инфраструктуры активного отдыха для здоровья и внедрение новых форм физкультурно-оздоровительной и спортивно-массовой работы со всеми слоями населения.</w:t>
      </w:r>
    </w:p>
    <w:p w:rsidR="00FA6157" w:rsidRDefault="00FA6157">
      <w:pPr>
        <w:pStyle w:val="newncpi"/>
      </w:pPr>
      <w:r>
        <w:t>Планируется:</w:t>
      </w:r>
    </w:p>
    <w:p w:rsidR="00FA6157" w:rsidRDefault="00FA6157">
      <w:pPr>
        <w:pStyle w:val="newncpi"/>
      </w:pPr>
      <w:proofErr w:type="gramStart"/>
      <w:r>
        <w:t>завершить</w:t>
      </w:r>
      <w:proofErr w:type="gramEnd"/>
      <w:r>
        <w:t xml:space="preserve"> строительство физкультурно-оздоровительных комплексов в городах Могилеве, Чашниках, Слониме, реконструкцию спортивного комплекса в г. Орше, физкультурно-оздоровительного комплекса с пристройкой культурно-спортивного центра в агрогородке Бабиничи Оршанского района;</w:t>
      </w:r>
    </w:p>
    <w:p w:rsidR="00FA6157" w:rsidRDefault="00FA6157">
      <w:pPr>
        <w:pStyle w:val="newncpi"/>
      </w:pPr>
      <w:proofErr w:type="gramStart"/>
      <w:r>
        <w:lastRenderedPageBreak/>
        <w:t>начать</w:t>
      </w:r>
      <w:proofErr w:type="gramEnd"/>
      <w:r>
        <w:t xml:space="preserve"> строительство физкультурно-оздоровительных комплексов в городах Дзержинске, Старых Дорогах, Узде, крытой ледовой площадки для занятий хоккеем и массового катания в г. Островце;</w:t>
      </w:r>
    </w:p>
    <w:p w:rsidR="00FA6157" w:rsidRDefault="00FA6157">
      <w:pPr>
        <w:pStyle w:val="newncpi"/>
      </w:pPr>
      <w:proofErr w:type="gramStart"/>
      <w:r>
        <w:t>провести</w:t>
      </w:r>
      <w:proofErr w:type="gramEnd"/>
      <w:r>
        <w:t xml:space="preserve"> реконструкцию спорткомплекса БФСО «Динамо» в г. Минске;</w:t>
      </w:r>
    </w:p>
    <w:p w:rsidR="00FA6157" w:rsidRDefault="00FA6157">
      <w:pPr>
        <w:pStyle w:val="newncpi"/>
      </w:pPr>
      <w:proofErr w:type="gramStart"/>
      <w:r>
        <w:t>построить</w:t>
      </w:r>
      <w:proofErr w:type="gramEnd"/>
      <w:r>
        <w:t xml:space="preserve"> не менее 30 типовых физкультурно-оздоровительных комплексов с плавательными бассейнами в регионах с привлечением кредитов и средств инвесторов;</w:t>
      </w:r>
    </w:p>
    <w:p w:rsidR="00FA6157" w:rsidRDefault="00FA6157">
      <w:pPr>
        <w:pStyle w:val="newncpi"/>
      </w:pPr>
      <w:proofErr w:type="gramStart"/>
      <w:r>
        <w:t>ввести</w:t>
      </w:r>
      <w:proofErr w:type="gramEnd"/>
      <w:r>
        <w:t xml:space="preserve"> в эксплуатацию 38 мини-футбольных площадок, открыть иные физкультурно-спортивные сооружения в городских поселках и агрогородках.</w:t>
      </w:r>
    </w:p>
    <w:p w:rsidR="00FA6157" w:rsidRDefault="00FA6157">
      <w:pPr>
        <w:pStyle w:val="newncpi"/>
      </w:pPr>
      <w:r>
        <w:t>Главным результатом станет увеличение доли лиц, занимающихся физической культурой и спортом, в общей численности населения до 27 процентов в 2025 году.</w:t>
      </w:r>
    </w:p>
    <w:p w:rsidR="00FA6157" w:rsidRDefault="00FA6157">
      <w:pPr>
        <w:pStyle w:val="newncpi"/>
      </w:pPr>
      <w:r>
        <w:t>Продолжится работа по централизованной и децентрализованной подготовке национальных и сборных команд Республики Беларусь по видам спорта для выступления на международных спортивных соревнованиях. Будут созданы условия для качественного проведения в Беларуси значимых спортивных соревнований и спортивно-массовых мероприятий.</w:t>
      </w:r>
    </w:p>
    <w:p w:rsidR="00FA6157" w:rsidRDefault="00FA6157">
      <w:pPr>
        <w:pStyle w:val="newncpi"/>
      </w:pPr>
      <w:r>
        <w:t>Спортивный рейтинг Республики Беларусь в неофициальном командном зачете по результатам Олимпийских игр намечено поддерживать не ниже 25-го места.</w:t>
      </w:r>
    </w:p>
    <w:p w:rsidR="00FA6157" w:rsidRDefault="00FA6157">
      <w:pPr>
        <w:pStyle w:val="newncpi"/>
      </w:pPr>
      <w:r>
        <w:t>Инструментом выполнения поставленных задач станет</w:t>
      </w:r>
      <w:r>
        <w:rPr>
          <w:b/>
          <w:bCs/>
        </w:rPr>
        <w:t xml:space="preserve"> </w:t>
      </w:r>
      <w:r>
        <w:t>реализация Государственной программы «Физическая культура и спорт» на 2021–2025 годы.</w:t>
      </w:r>
    </w:p>
    <w:p w:rsidR="00FA6157" w:rsidRDefault="00FA6157">
      <w:pPr>
        <w:pStyle w:val="newncpi"/>
      </w:pPr>
      <w:r>
        <w:t> </w:t>
      </w:r>
    </w:p>
    <w:p w:rsidR="00FA6157" w:rsidRDefault="00FA6157">
      <w:pPr>
        <w:pStyle w:val="underpoint"/>
      </w:pPr>
      <w:r>
        <w:rPr>
          <w:b/>
          <w:bCs/>
        </w:rPr>
        <w:t>5.8. Создание возможностей для развития и самореализации молодежи</w:t>
      </w:r>
    </w:p>
    <w:p w:rsidR="00FA6157" w:rsidRDefault="00FA6157">
      <w:pPr>
        <w:pStyle w:val="newncpi"/>
      </w:pPr>
      <w:r>
        <w:t> </w:t>
      </w:r>
    </w:p>
    <w:p w:rsidR="00FA6157" w:rsidRDefault="00FA6157">
      <w:pPr>
        <w:pStyle w:val="newncpi"/>
      </w:pPr>
      <w:r>
        <w:t>Наше будущее – это молодежь. Молодежная политика направлена на формирование правовых, культурных и нравственных ценностей у молодого поколения, что станет основой для его патриотического воспитания и служения Отечеству.</w:t>
      </w:r>
    </w:p>
    <w:p w:rsidR="00FA6157" w:rsidRDefault="00FA6157">
      <w:pPr>
        <w:pStyle w:val="newncpi"/>
      </w:pPr>
      <w:r>
        <w:t>Основные усилия предстоит сконцентрировать на создании условий для социализации и эффективной самореализации молодых людей, равноправного их участия в экономическом, социальном и культурном развитии общества.</w:t>
      </w:r>
    </w:p>
    <w:p w:rsidR="00FA6157" w:rsidRDefault="00FA6157">
      <w:pPr>
        <w:pStyle w:val="newncpi"/>
      </w:pPr>
      <w:r>
        <w:t>Критерий эффективности молодежной политики: доля молодежи (в возрасте от 15 до 24 лет), которая не учится, не работает и не приобретает профессиональных навыков, – не более 6 процентов от общей численности населения в возрасте от 15 до 24 лет в 2025 году.</w:t>
      </w:r>
    </w:p>
    <w:p w:rsidR="00FA6157" w:rsidRDefault="00FA6157">
      <w:pPr>
        <w:pStyle w:val="newncpi"/>
      </w:pPr>
      <w:r>
        <w:rPr>
          <w:b/>
          <w:bCs/>
          <w:i/>
          <w:iCs/>
        </w:rPr>
        <w:t xml:space="preserve">Формирование целостной системы поддержки и сопровождения талантливой и одаренной молодежи </w:t>
      </w:r>
      <w:r>
        <w:t>будет обеспечено посредством создания «социальных лифтов» для талантливой молодежи, в том числе из малых городов и сельской местности, сопровождения молодых людей на протяжении всего процесса обучения до начала трудовой деятельности, развития института наставничества.</w:t>
      </w:r>
    </w:p>
    <w:p w:rsidR="00FA6157" w:rsidRDefault="00FA6157">
      <w:pPr>
        <w:pStyle w:val="newncpi"/>
      </w:pPr>
      <w:r>
        <w:t>Будет активизирована работа по популяризации достижений талантливой молодежи, расширению практики предоставления государственных связанных грантов и организации стажировок в лучших зарубежных вузах, образовательных и научных центрах.</w:t>
      </w:r>
    </w:p>
    <w:p w:rsidR="00FA6157" w:rsidRDefault="00FA6157">
      <w:pPr>
        <w:pStyle w:val="newncpi"/>
      </w:pPr>
      <w:r>
        <w:t>Для</w:t>
      </w:r>
      <w:r>
        <w:rPr>
          <w:b/>
          <w:bCs/>
          <w:i/>
          <w:iCs/>
        </w:rPr>
        <w:t xml:space="preserve"> создания условий и возможности для научной, творческой и предпринимательской активности молодых граждан, их саморазвития</w:t>
      </w:r>
      <w:r>
        <w:t xml:space="preserve"> предстоит усовершенствовать систему профессиональной ориентации молодежи, усилить ее мотивацию к трудовой деятельности по востребованным на рынке профессиям.</w:t>
      </w:r>
    </w:p>
    <w:p w:rsidR="00FA6157" w:rsidRDefault="00FA6157">
      <w:pPr>
        <w:pStyle w:val="newncpi"/>
      </w:pPr>
      <w:r>
        <w:t>Планируется расширить перечень образовательных программ в области науки и технологий, создавать научные молодежные объединения и центры технического творчества.</w:t>
      </w:r>
    </w:p>
    <w:p w:rsidR="00FA6157" w:rsidRDefault="00FA6157">
      <w:pPr>
        <w:pStyle w:val="newncpi"/>
      </w:pPr>
      <w:r>
        <w:t>Продолжится работа по стимулированию развития современных форм молодежной занятости, включая молодежное предпринимательство.</w:t>
      </w:r>
    </w:p>
    <w:p w:rsidR="00FA6157" w:rsidRDefault="00FA6157">
      <w:pPr>
        <w:pStyle w:val="newncpi"/>
      </w:pPr>
      <w:r>
        <w:t>Акцент будет сделан на работу с творческой и креативной молодежью, включая ее поддержку в реализации творческих проектов.</w:t>
      </w:r>
    </w:p>
    <w:p w:rsidR="00FA6157" w:rsidRDefault="00FA6157">
      <w:pPr>
        <w:pStyle w:val="newncpi"/>
      </w:pPr>
      <w:r>
        <w:lastRenderedPageBreak/>
        <w:t>Важная задача – содействие участию молодых людей в межрегиональных и международных научно-практических и бизнес-конференциях, дискуссионных клубах, молодежных обменах в рамках образовательных программ.</w:t>
      </w:r>
    </w:p>
    <w:p w:rsidR="00FA6157" w:rsidRDefault="00FA6157">
      <w:pPr>
        <w:pStyle w:val="newncpi"/>
      </w:pPr>
      <w:r>
        <w:t>В целях</w:t>
      </w:r>
      <w:r>
        <w:rPr>
          <w:b/>
          <w:bCs/>
          <w:i/>
          <w:iCs/>
        </w:rPr>
        <w:t xml:space="preserve"> усиления гражданско-патриотического воспитания молодежи, содействия формированию культурных и нравственных ценностей </w:t>
      </w:r>
      <w:r>
        <w:t>молодежь будет активно вовлекаться в процесс принятия управленческих решений, в том числе через формирование резерва молодых руководящих кадров.</w:t>
      </w:r>
    </w:p>
    <w:p w:rsidR="00FA6157" w:rsidRDefault="00FA6157">
      <w:pPr>
        <w:pStyle w:val="newncpi"/>
      </w:pPr>
      <w:r>
        <w:t>Предстоит усилить работу в учреждениях образования по воспитанию у детей и молодежи патриотизма и любви к Родине, привязанности к родной земле, уважения к государственности, бережного отношения к историческому наследию, культурным традициям белорусского народа, формированию нравственных качеств и правовой культуры.</w:t>
      </w:r>
    </w:p>
    <w:p w:rsidR="00FA6157" w:rsidRDefault="00FA6157">
      <w:pPr>
        <w:pStyle w:val="newncpi"/>
      </w:pPr>
      <w:r>
        <w:t>Планируется создать постоянно действующие молодежные дискуссионные площадки для различных общественных инициатив, сформировать единый информационный портал в сфере молодежной политики.</w:t>
      </w:r>
    </w:p>
    <w:p w:rsidR="00FA6157" w:rsidRDefault="00FA6157">
      <w:pPr>
        <w:pStyle w:val="newncpi"/>
      </w:pPr>
      <w:r>
        <w:t>В социально-политическую жизнь общества будут шире вовлекаться молодежные общественные объединения, деятельность которых нацелена на повышение ответственности за судьбу страны и ее независимость.</w:t>
      </w:r>
    </w:p>
    <w:p w:rsidR="00FA6157" w:rsidRDefault="00FA6157">
      <w:pPr>
        <w:pStyle w:val="newncpi"/>
      </w:pPr>
      <w:r>
        <w:t>Более широкое развитие получит практика молодежного самоуправления и самоорганизации в рамках студенческих и трудовых коллективов, волонтерское движение.</w:t>
      </w:r>
    </w:p>
    <w:p w:rsidR="00FA6157" w:rsidRDefault="00FA6157">
      <w:pPr>
        <w:pStyle w:val="newncpi"/>
      </w:pPr>
      <w:r>
        <w:t>Намечено реализовать Программу непрерывного воспитания детей и учащейся молодежи в Республике Беларусь на 2021–2025 годы, включающую гражданское, патриотическое, туристско-краеведческое, физкультурно-спортивное и иные направления.</w:t>
      </w:r>
    </w:p>
    <w:p w:rsidR="00FA6157" w:rsidRDefault="00FA6157">
      <w:pPr>
        <w:pStyle w:val="newncpi"/>
      </w:pPr>
      <w:r>
        <w:t>В результате охват молодежи различными формами общественно-политической, экономической, социальной и культурной деятельности составит не менее 86 процентов в 2025 году.</w:t>
      </w:r>
    </w:p>
    <w:p w:rsidR="00FA6157" w:rsidRDefault="00FA6157">
      <w:pPr>
        <w:pStyle w:val="newncpi"/>
      </w:pPr>
      <w:r>
        <w:t>Инструментом выполнения данных задач станет реализация государственных программ на 2021–2025 годы «Образование и молодежная политика», «Рынок труда и содействие занятости», «Увековечение памяти о погибших при защите Отечества».</w:t>
      </w:r>
    </w:p>
    <w:p w:rsidR="00FA6157" w:rsidRDefault="00FA6157">
      <w:pPr>
        <w:pStyle w:val="chapter"/>
      </w:pPr>
      <w:r>
        <w:t xml:space="preserve">ГЛАВА 6 </w:t>
      </w:r>
      <w:r>
        <w:br/>
        <w:t xml:space="preserve">УКРЕПЛЕНИЕ ЭКОНОМИЧЕСКОГО ПОТЕНЦИАЛА </w:t>
      </w:r>
    </w:p>
    <w:p w:rsidR="00FA6157" w:rsidRDefault="00FA6157">
      <w:pPr>
        <w:pStyle w:val="underpoint"/>
      </w:pPr>
      <w:r>
        <w:rPr>
          <w:b/>
          <w:bCs/>
        </w:rPr>
        <w:t>6.1. Рост конкурентоспособности промышленного комплекса</w:t>
      </w:r>
    </w:p>
    <w:p w:rsidR="00FA6157" w:rsidRDefault="00FA6157">
      <w:pPr>
        <w:pStyle w:val="newncpi"/>
      </w:pPr>
      <w:r>
        <w:t> </w:t>
      </w:r>
    </w:p>
    <w:p w:rsidR="00FA6157" w:rsidRDefault="00FA6157">
      <w:pPr>
        <w:pStyle w:val="newncpi"/>
      </w:pPr>
      <w:r>
        <w:t>Стратегия промышленного развития предусматривает преобразование отечественного производства в конкурентоспособный комплекс, оперативно и гибко реагирующий на мировую конъюнктуру и потребности внутреннего рынка.</w:t>
      </w:r>
    </w:p>
    <w:p w:rsidR="00FA6157" w:rsidRDefault="00FA6157">
      <w:pPr>
        <w:pStyle w:val="newncpi"/>
      </w:pPr>
      <w:r>
        <w:t>Ставка будет сделана на </w:t>
      </w:r>
      <w:r>
        <w:rPr>
          <w:b/>
          <w:bCs/>
        </w:rPr>
        <w:t xml:space="preserve">ускоренное развитие высокотехнологичных производств </w:t>
      </w:r>
      <w:r>
        <w:t>в фармацевтике, оптике и электронике: электронных компонентов, оптико-электронных систем двойного назначения, медицинской техники, диагностического оборудования и систем безопасности.</w:t>
      </w:r>
    </w:p>
    <w:p w:rsidR="00FA6157" w:rsidRDefault="00FA6157">
      <w:pPr>
        <w:pStyle w:val="newncpi"/>
      </w:pPr>
      <w:r>
        <w:t>Прорывными точками роста промышленности станут:</w:t>
      </w:r>
    </w:p>
    <w:p w:rsidR="00FA6157" w:rsidRDefault="00FA6157">
      <w:pPr>
        <w:pStyle w:val="newncpi"/>
      </w:pPr>
      <w:proofErr w:type="gramStart"/>
      <w:r>
        <w:rPr>
          <w:b/>
          <w:bCs/>
          <w:i/>
          <w:iCs/>
        </w:rPr>
        <w:t>электроиндустрия</w:t>
      </w:r>
      <w:proofErr w:type="gramEnd"/>
      <w:r>
        <w:rPr>
          <w:b/>
          <w:bCs/>
          <w:i/>
          <w:iCs/>
        </w:rPr>
        <w:t xml:space="preserve"> и электротранспорт</w:t>
      </w:r>
      <w:r>
        <w:rPr>
          <w:i/>
          <w:iCs/>
        </w:rPr>
        <w:t>.</w:t>
      </w:r>
      <w:r>
        <w:t xml:space="preserve"> Будут созданы новые производства грузового и пассажирского электротранспорта и его компонентов, коммунальных машин с электроприводом, расширен выпуск зарядной инфраструктуры. Планируется освоить производство интеллектуальных автокомпонентов и систем для автотранспортных средств экологического класса Евро-5, Евро-6 в ОАО «Экран», создать участок высокопроизводительного оборудования для производства изделий прицельной техники и автокомпонентов в ОАО «Зенит-БелОМО». Предстоит техническое переоснащение ОАО «ММЗ имени С.И.Вавилова»;</w:t>
      </w:r>
    </w:p>
    <w:p w:rsidR="00FA6157" w:rsidRDefault="00FA6157">
      <w:pPr>
        <w:pStyle w:val="newncpi"/>
      </w:pPr>
      <w:proofErr w:type="gramStart"/>
      <w:r>
        <w:rPr>
          <w:b/>
          <w:bCs/>
          <w:i/>
          <w:iCs/>
        </w:rPr>
        <w:lastRenderedPageBreak/>
        <w:t>биоиндустрия</w:t>
      </w:r>
      <w:proofErr w:type="gramEnd"/>
      <w:r>
        <w:rPr>
          <w:b/>
          <w:bCs/>
          <w:i/>
          <w:iCs/>
        </w:rPr>
        <w:t xml:space="preserve"> и фармацевтика</w:t>
      </w:r>
      <w:r>
        <w:t>. Намечено освоить производство оригинальных полифункциональных лекарственных средств, биоветеринарных препаратов.</w:t>
      </w:r>
    </w:p>
    <w:p w:rsidR="00FA6157" w:rsidRDefault="00FA6157">
      <w:pPr>
        <w:pStyle w:val="newncpi"/>
      </w:pPr>
      <w:r>
        <w:t>В фармацевтике предстоит реализовать не менее 9 инвестиционных проектов на РУП «Белмедпрепараты», УП «Минскинтеркапс», в ОАО «Борисовский завод медицинских препаратов», ОАО «Несвижский завод медицинских препаратов», включая расширение производства противоопухолевых лекарственных средств в форме лиофильно высушенных порошков, концентратов и растворов для инъекций, производство лекарственных препаратов в твердой и мягкой формах, инфузионных растворов в пакетах NON-PVC по полному циклу (изготовление, наполнение, герметизация), создание производства лекарственных средств в форме глазных капель по технологии BFS.</w:t>
      </w:r>
    </w:p>
    <w:p w:rsidR="00FA6157" w:rsidRDefault="00FA6157">
      <w:pPr>
        <w:pStyle w:val="newncpi"/>
      </w:pPr>
      <w:r>
        <w:t>Будет продолжена работа по разработке отечественной вакцины против COVID-19 и организовано ее производство.</w:t>
      </w:r>
    </w:p>
    <w:p w:rsidR="00FA6157" w:rsidRDefault="00FA6157">
      <w:pPr>
        <w:pStyle w:val="newncpi"/>
      </w:pPr>
      <w:r>
        <w:t>В текущей пятилетке предполагается увеличить объемы производства отечественных лекарственных препаратов и расширить их номенклатуру, обеспечив в 2025 году выпуск в стране до 70 процентов международных непатентованных наименований лекарственных средств, включенных в Республиканский формуляр лекарственных средств, и нарастить экспорт фармацевтической продукции в два раза.</w:t>
      </w:r>
    </w:p>
    <w:p w:rsidR="00FA6157" w:rsidRDefault="00FA6157">
      <w:pPr>
        <w:pStyle w:val="newncpi"/>
      </w:pPr>
      <w:r>
        <w:t>Запланирован выпуск уникальных для страны премиксов, аминокислот, комбикормов и других продуктов для сельского хозяйства с использованием биотехнологий. Будут разработаны и внедрены технологии геномной селекции и генетической паспортизации биологических объектов;</w:t>
      </w:r>
    </w:p>
    <w:p w:rsidR="00FA6157" w:rsidRDefault="00FA6157">
      <w:pPr>
        <w:pStyle w:val="newncpi"/>
      </w:pPr>
      <w:proofErr w:type="gramStart"/>
      <w:r>
        <w:rPr>
          <w:b/>
          <w:bCs/>
          <w:i/>
          <w:iCs/>
        </w:rPr>
        <w:t>робототехника</w:t>
      </w:r>
      <w:proofErr w:type="gramEnd"/>
      <w:r>
        <w:rPr>
          <w:b/>
          <w:bCs/>
          <w:i/>
          <w:iCs/>
        </w:rPr>
        <w:t xml:space="preserve"> и приборостроение</w:t>
      </w:r>
      <w:r>
        <w:t>. Предстоит развивать производство многофункциональных беспилотных авиационных и роботизированных комплексов, роботизированных систем с использованием технологий искусственного интеллекта, программно-аппаратных комплексов;</w:t>
      </w:r>
    </w:p>
    <w:p w:rsidR="00FA6157" w:rsidRDefault="00FA6157">
      <w:pPr>
        <w:pStyle w:val="newncpi"/>
      </w:pPr>
      <w:proofErr w:type="gramStart"/>
      <w:r>
        <w:rPr>
          <w:b/>
          <w:bCs/>
          <w:i/>
          <w:iCs/>
        </w:rPr>
        <w:t>производство</w:t>
      </w:r>
      <w:proofErr w:type="gramEnd"/>
      <w:r>
        <w:rPr>
          <w:b/>
          <w:bCs/>
          <w:i/>
          <w:iCs/>
        </w:rPr>
        <w:t xml:space="preserve"> композитных материалов</w:t>
      </w:r>
      <w:r>
        <w:t>. Намечено освоить производство высокотехнологичных изделий из композиционных материалов для аэрокосмической и оборонной промышленности, новых термостабильных, высокопрочных композитных материалов.</w:t>
      </w:r>
    </w:p>
    <w:p w:rsidR="00FA6157" w:rsidRDefault="00FA6157">
      <w:pPr>
        <w:pStyle w:val="newncpi"/>
      </w:pPr>
      <w:r>
        <w:rPr>
          <w:b/>
          <w:bCs/>
        </w:rPr>
        <w:t>Наращивание потенциала традиционных производств на новой технологической базе</w:t>
      </w:r>
      <w:r>
        <w:t>.</w:t>
      </w:r>
    </w:p>
    <w:p w:rsidR="00FA6157" w:rsidRDefault="00FA6157">
      <w:pPr>
        <w:pStyle w:val="newncpi"/>
      </w:pPr>
      <w:r>
        <w:t xml:space="preserve">Развитие </w:t>
      </w:r>
      <w:r>
        <w:rPr>
          <w:b/>
          <w:bCs/>
          <w:i/>
          <w:iCs/>
        </w:rPr>
        <w:t>металлургии</w:t>
      </w:r>
      <w:r>
        <w:t xml:space="preserve"> будет нацелено на модернизацию и создание новых производств с оптимизацией энергоемких процессов, что позволит снизить материалоемкость продукции на 4 процента.</w:t>
      </w:r>
    </w:p>
    <w:p w:rsidR="00FA6157" w:rsidRDefault="00FA6157">
      <w:pPr>
        <w:pStyle w:val="newncpi"/>
      </w:pPr>
      <w:r>
        <w:t>Предусматривается реализовать инвестиционные проекты по:</w:t>
      </w:r>
    </w:p>
    <w:p w:rsidR="00FA6157" w:rsidRDefault="00FA6157">
      <w:pPr>
        <w:pStyle w:val="newncpi"/>
      </w:pPr>
      <w:proofErr w:type="gramStart"/>
      <w:r>
        <w:t>строительству</w:t>
      </w:r>
      <w:proofErr w:type="gramEnd"/>
      <w:r>
        <w:t xml:space="preserve"> литейного завода в г. Столбцы производственной мощностью по выпуску чугунного литья до 200 тыс. и стального литья до 100 тыс. тонн в год;</w:t>
      </w:r>
    </w:p>
    <w:p w:rsidR="00FA6157" w:rsidRDefault="00FA6157">
      <w:pPr>
        <w:pStyle w:val="newncpi"/>
      </w:pPr>
      <w:proofErr w:type="gramStart"/>
      <w:r>
        <w:t>созданию</w:t>
      </w:r>
      <w:proofErr w:type="gramEnd"/>
      <w:r>
        <w:t xml:space="preserve"> новых производств высокопрочной проволоки в ОАО «БМЗ» мощностью 11 тыс. тонн в год и крепежа оцинкованного в ОАО «Речицкий метизный завод» мощностью 2 тыс. тонн в год;</w:t>
      </w:r>
    </w:p>
    <w:p w:rsidR="00FA6157" w:rsidRDefault="00FA6157">
      <w:pPr>
        <w:pStyle w:val="newncpi"/>
      </w:pPr>
      <w:proofErr w:type="gramStart"/>
      <w:r>
        <w:t>строительству</w:t>
      </w:r>
      <w:proofErr w:type="gramEnd"/>
      <w:r>
        <w:t>, реконструкции и техническому переоснащению основного металлургического производства (завершение трех инвестиционных проектов) в ОАО «БМЗ», что позволит повысить эффективность работы и увеличить объем выплавки стали с 2,3 млн. тонн в 2021 году до 2,8 млн. тонн в 2025 году.</w:t>
      </w:r>
    </w:p>
    <w:p w:rsidR="00FA6157" w:rsidRDefault="00FA6157">
      <w:pPr>
        <w:pStyle w:val="newncpi"/>
      </w:pPr>
      <w:r>
        <w:t xml:space="preserve">В </w:t>
      </w:r>
      <w:r>
        <w:rPr>
          <w:b/>
          <w:bCs/>
          <w:i/>
          <w:iCs/>
        </w:rPr>
        <w:t>машиностроении и производстве электрооборудования</w:t>
      </w:r>
      <w:r>
        <w:t xml:space="preserve"> планируется:</w:t>
      </w:r>
    </w:p>
    <w:p w:rsidR="00FA6157" w:rsidRDefault="00FA6157">
      <w:pPr>
        <w:pStyle w:val="newncpi"/>
      </w:pPr>
      <w:proofErr w:type="gramStart"/>
      <w:r>
        <w:t>увеличить</w:t>
      </w:r>
      <w:proofErr w:type="gramEnd"/>
      <w:r>
        <w:t xml:space="preserve"> производство тракторов мощностью 80–130 лошадиных сил с газодизельными двигателями, производимыми в ОАО «УКХ «Минский моторный завод». Доля тракторов с двигателем, отвечающим стандартам Stage 5, составит не менее 10 процентов в общем объеме производства;</w:t>
      </w:r>
    </w:p>
    <w:p w:rsidR="00FA6157" w:rsidRDefault="00FA6157">
      <w:pPr>
        <w:pStyle w:val="newncpi"/>
      </w:pPr>
      <w:proofErr w:type="gramStart"/>
      <w:r>
        <w:t>нарастить</w:t>
      </w:r>
      <w:proofErr w:type="gramEnd"/>
      <w:r>
        <w:t xml:space="preserve"> выпуск карьерных самосвалов грузоподъемностью 90–450 тонн в ОАО «БЕЛАЗ» и повысить долю белорусской продукции на мировом рынке карьерной техники до 31 процента.</w:t>
      </w:r>
    </w:p>
    <w:p w:rsidR="00FA6157" w:rsidRDefault="00FA6157">
      <w:pPr>
        <w:pStyle w:val="newncpi"/>
      </w:pPr>
      <w:r>
        <w:lastRenderedPageBreak/>
        <w:t>Намечено расширить объемы производства:</w:t>
      </w:r>
    </w:p>
    <w:p w:rsidR="00FA6157" w:rsidRDefault="00FA6157">
      <w:pPr>
        <w:pStyle w:val="newncpi"/>
      </w:pPr>
      <w:proofErr w:type="gramStart"/>
      <w:r>
        <w:t>сельскохозяйственной</w:t>
      </w:r>
      <w:proofErr w:type="gramEnd"/>
      <w:r>
        <w:t xml:space="preserve"> техники в ОАО «МТЗ», ОАО «Гомсельмаш», ОАО «Бобруйскагромаш»;</w:t>
      </w:r>
    </w:p>
    <w:p w:rsidR="00FA6157" w:rsidRDefault="00FA6157">
      <w:pPr>
        <w:pStyle w:val="newncpi"/>
      </w:pPr>
      <w:proofErr w:type="gramStart"/>
      <w:r>
        <w:t>лесозаготовительной</w:t>
      </w:r>
      <w:proofErr w:type="gramEnd"/>
      <w:r>
        <w:t xml:space="preserve"> техники в ОАО «АМКОДОР»;</w:t>
      </w:r>
    </w:p>
    <w:p w:rsidR="00FA6157" w:rsidRDefault="00FA6157">
      <w:pPr>
        <w:pStyle w:val="newncpi"/>
      </w:pPr>
      <w:proofErr w:type="gramStart"/>
      <w:r>
        <w:t>дорожной</w:t>
      </w:r>
      <w:proofErr w:type="gramEnd"/>
      <w:r>
        <w:t xml:space="preserve"> и коммунальной техники в ОАО «АМКОДОР», ОАО «БЕЛАЗ»;</w:t>
      </w:r>
    </w:p>
    <w:p w:rsidR="00FA6157" w:rsidRDefault="00FA6157">
      <w:pPr>
        <w:pStyle w:val="newncpi"/>
      </w:pPr>
      <w:proofErr w:type="gramStart"/>
      <w:r>
        <w:t>подъемно</w:t>
      </w:r>
      <w:proofErr w:type="gramEnd"/>
      <w:r>
        <w:t>-транспортного оборудования, а также электронагревательных котлов;</w:t>
      </w:r>
    </w:p>
    <w:p w:rsidR="00FA6157" w:rsidRDefault="00FA6157">
      <w:pPr>
        <w:pStyle w:val="newncpi"/>
      </w:pPr>
      <w:proofErr w:type="gramStart"/>
      <w:r>
        <w:t>холодильников</w:t>
      </w:r>
      <w:proofErr w:type="gramEnd"/>
      <w:r>
        <w:t xml:space="preserve"> и морозильников, стиральных и посудомоечных машин, микроволновых печей и кухонных комбайнов в ЗАО «Атлант» и холдинге «ГОРИЗОНТ».</w:t>
      </w:r>
    </w:p>
    <w:p w:rsidR="00FA6157" w:rsidRDefault="00FA6157">
      <w:pPr>
        <w:pStyle w:val="newncpi"/>
      </w:pPr>
      <w:r>
        <w:t>В результате удельный вес бытовой техники класса энергоэффективности «А++» составит не менее 50 процентов в общей стоимости производимой в республике бытовой техники.</w:t>
      </w:r>
    </w:p>
    <w:p w:rsidR="00FA6157" w:rsidRDefault="00FA6157">
      <w:pPr>
        <w:pStyle w:val="newncpi"/>
      </w:pPr>
      <w:r>
        <w:t>В</w:t>
      </w:r>
      <w:r>
        <w:rPr>
          <w:b/>
          <w:bCs/>
          <w:i/>
          <w:iCs/>
        </w:rPr>
        <w:t xml:space="preserve"> производстве транспортных средств</w:t>
      </w:r>
      <w:r>
        <w:t xml:space="preserve"> предстоит обеспечить локализацию сборочного производства СЗАО «Белджи» с выпуском двигателей внутреннего сгорания, укомплектованных коробкой передач, автомобильных сидений, теплообменников, автомобильных передних и задних мостов, автомобильных стекол и другого.</w:t>
      </w:r>
    </w:p>
    <w:p w:rsidR="00FA6157" w:rsidRDefault="00FA6157">
      <w:pPr>
        <w:pStyle w:val="newncpi"/>
      </w:pPr>
      <w:r>
        <w:t>Широкое развитие получит отечественное производство электротранспорта (легкового и коммерческого) и автокомпонентов к нему, будет увеличен выпуск электробусов (в том числе с динамической и ночной подзарядкой). Доля электротранспорта в общем объеме производства пассажирских транспортных средств составит не менее 30 процентов в 2025 году.</w:t>
      </w:r>
    </w:p>
    <w:p w:rsidR="00FA6157" w:rsidRDefault="00FA6157">
      <w:pPr>
        <w:pStyle w:val="newncpi"/>
      </w:pPr>
      <w:r>
        <w:t>Планируется нарастить объемы выпуска грузовых и пассажирских вагонов самоходных (в том числе трамваев и вагонов метро), освоить производство городских низкопольных автобусов третьего поколения.</w:t>
      </w:r>
    </w:p>
    <w:p w:rsidR="00FA6157" w:rsidRDefault="00FA6157">
      <w:pPr>
        <w:pStyle w:val="newncpi"/>
      </w:pPr>
      <w:r>
        <w:t>Доля автомобилей и автобусов, оснащенных двигателем экологического стандарта Евро-6 и выше, составит 75 процентов в общем объеме производства.</w:t>
      </w:r>
    </w:p>
    <w:p w:rsidR="00FA6157" w:rsidRDefault="00FA6157">
      <w:pPr>
        <w:pStyle w:val="newncpi"/>
      </w:pPr>
      <w:r>
        <w:t>Предполагается создать автомобильный кластер, ядром которого станут предприятия по производству дизельных и гибридных двигателей внутреннего сгорания экологического класса Евро-6 и выше, коробок передач для средне- и крупногабаритных автомобилей, автокомпонентов и двигателей для легковых автомобилей, по выпуску дорожной и строительной техники на шасси МАЗ.</w:t>
      </w:r>
    </w:p>
    <w:p w:rsidR="00FA6157" w:rsidRDefault="00FA6157">
      <w:pPr>
        <w:pStyle w:val="newncpi"/>
      </w:pPr>
      <w:r>
        <w:t xml:space="preserve">В </w:t>
      </w:r>
      <w:r>
        <w:rPr>
          <w:b/>
          <w:bCs/>
          <w:i/>
          <w:iCs/>
        </w:rPr>
        <w:t xml:space="preserve">нефтепереработке </w:t>
      </w:r>
      <w:r>
        <w:t>намечено создать комплексы замедленного коксования нефтяных остатков в ОАО «Нафтан» и гидрокрекинга тяжелых нефтяных остатков в ОАО «Мозырский нефтеперерабатывающий завод». Это позволит увеличить глубину переработки нефти до 91 процента и долю выпуска светлых нефтепродуктов в общем объеме до 70 процентов.</w:t>
      </w:r>
    </w:p>
    <w:p w:rsidR="00FA6157" w:rsidRDefault="00FA6157">
      <w:pPr>
        <w:pStyle w:val="newncpi"/>
      </w:pPr>
      <w:r>
        <w:t>Запланировано введение в эксплуатацию двух крупных горно-обогатительных комплексов по производству хлорида калия в ОАО «Беларуськалий» на Петриковском месторождении мощностью 1,1 млн. тонн хлорида калия в год и в ИООО «Славкалий» на Нежинском участке Старобинского месторождения мощностью до 2 млн. тонн хлорида калия в год.</w:t>
      </w:r>
    </w:p>
    <w:p w:rsidR="00FA6157" w:rsidRDefault="00FA6157">
      <w:pPr>
        <w:pStyle w:val="newncpi"/>
      </w:pPr>
      <w:r>
        <w:t>Это позволит увеличить производственные мощности по выпуску калийных удобрений к 2025 году до 17 млн. тонн в год и обеспечить вхождение республики в топ-5 мировых производителей калийных удобрений.</w:t>
      </w:r>
    </w:p>
    <w:p w:rsidR="00FA6157" w:rsidRDefault="00FA6157">
      <w:pPr>
        <w:pStyle w:val="newncpi"/>
      </w:pPr>
      <w:r>
        <w:t xml:space="preserve">В </w:t>
      </w:r>
      <w:r>
        <w:rPr>
          <w:b/>
          <w:bCs/>
          <w:i/>
          <w:iCs/>
        </w:rPr>
        <w:t xml:space="preserve">химическом производстве </w:t>
      </w:r>
      <w:r>
        <w:t>предстоит провести техническую модернизацию в ОАО «Гомельский химический завод» в целях наращивания выпуска серной кислоты. Это позволит увеличить выпуск NPK-удобрений с 900 тыс. до 1220 тыс. тонн в год и создать предпосылки для переработки фосфорсодержащего сырья различного качества.</w:t>
      </w:r>
    </w:p>
    <w:p w:rsidR="00FA6157" w:rsidRDefault="00FA6157">
      <w:pPr>
        <w:pStyle w:val="newncpi"/>
      </w:pPr>
      <w:r>
        <w:t>Намечено:</w:t>
      </w:r>
    </w:p>
    <w:p w:rsidR="00FA6157" w:rsidRDefault="00FA6157">
      <w:pPr>
        <w:pStyle w:val="newncpi"/>
      </w:pPr>
      <w:proofErr w:type="gramStart"/>
      <w:r>
        <w:t>ввести</w:t>
      </w:r>
      <w:proofErr w:type="gramEnd"/>
      <w:r>
        <w:t xml:space="preserve"> в эксплуатацию новый азотный комплекс по производству аммиака и карбамида в ОАО «Гродно Азот», что позволит увеличить объемы их выпуска до 919 тыс. тонн и 1286 тыс. тонн в год соответственно;</w:t>
      </w:r>
    </w:p>
    <w:p w:rsidR="00FA6157" w:rsidRDefault="00FA6157">
      <w:pPr>
        <w:pStyle w:val="newncpi"/>
      </w:pPr>
      <w:proofErr w:type="gramStart"/>
      <w:r>
        <w:lastRenderedPageBreak/>
        <w:t>создать</w:t>
      </w:r>
      <w:proofErr w:type="gramEnd"/>
      <w:r>
        <w:t xml:space="preserve"> в ОАО «Гродно Азот» производство анидной (ПА 66) нити технического назначения для выпуска пропитанной кордной ткани различных марок, в том числе для изготовления шин специального назначения (армирование покрышек пневматических шин);</w:t>
      </w:r>
    </w:p>
    <w:p w:rsidR="00FA6157" w:rsidRDefault="00FA6157">
      <w:pPr>
        <w:pStyle w:val="newncpi"/>
      </w:pPr>
      <w:proofErr w:type="gramStart"/>
      <w:r>
        <w:t>освоить</w:t>
      </w:r>
      <w:proofErr w:type="gramEnd"/>
      <w:r>
        <w:t xml:space="preserve"> в ОАО «Белшина» выпуск индустриальных цельнометаллокордных шин для самосвалов, погрузчиков и бульдозеров.</w:t>
      </w:r>
    </w:p>
    <w:p w:rsidR="00FA6157" w:rsidRDefault="00FA6157">
      <w:pPr>
        <w:pStyle w:val="newncpi"/>
      </w:pPr>
      <w:r>
        <w:t>В ОАО «Нафтан» планируется внедрить установку по производству этилена и пропилена на заводе «Полимир» (мощностью 200 тыс. тонн и 100 тыс. тонн в год соответственно). Реализация проекта позволит создать базу для формирования нефтехимического кластера, включающего полную цепочку переработки нефти до производства конечных продуктов потребления с высокой добавленной стоимостью (АБС-пластиков, поликарбоната).</w:t>
      </w:r>
    </w:p>
    <w:p w:rsidR="00FA6157" w:rsidRDefault="00FA6157">
      <w:pPr>
        <w:pStyle w:val="newncpi"/>
      </w:pPr>
      <w:r>
        <w:t>В высокотехнологичных и традиционных секторах планируется реализовать 47 крупных проектов с общим объемом инвестиций 19 млрд. рублей.</w:t>
      </w:r>
    </w:p>
    <w:p w:rsidR="00FA6157" w:rsidRDefault="00FA6157">
      <w:pPr>
        <w:pStyle w:val="newncpi"/>
      </w:pPr>
      <w:r>
        <w:t> </w:t>
      </w:r>
    </w:p>
    <w:p w:rsidR="00FA6157" w:rsidRDefault="00FA6157">
      <w:pPr>
        <w:pStyle w:val="newncpi"/>
      </w:pPr>
      <w:r>
        <w:rPr>
          <w:b/>
          <w:bCs/>
        </w:rPr>
        <w:t>Расширение производственных мощностей на основе местных сырьевых ресурсов.</w:t>
      </w:r>
    </w:p>
    <w:p w:rsidR="00FA6157" w:rsidRDefault="00FA6157">
      <w:pPr>
        <w:pStyle w:val="newncpi"/>
      </w:pPr>
      <w:r>
        <w:t>Ставка будет сделана на увеличение глубины переработки сельскохозяйственного сырья, льна, кожи, древесины, торфа и других местных ресурсов.</w:t>
      </w:r>
    </w:p>
    <w:p w:rsidR="00FA6157" w:rsidRDefault="00FA6157">
      <w:pPr>
        <w:pStyle w:val="newncpi"/>
      </w:pPr>
      <w:r>
        <w:t xml:space="preserve">В </w:t>
      </w:r>
      <w:r>
        <w:rPr>
          <w:b/>
          <w:bCs/>
          <w:i/>
          <w:iCs/>
        </w:rPr>
        <w:t>деревообрабатывающей и целлюлозно-бумажной промышленности</w:t>
      </w:r>
      <w:r>
        <w:rPr>
          <w:b/>
          <w:bCs/>
        </w:rPr>
        <w:t xml:space="preserve"> </w:t>
      </w:r>
      <w:r>
        <w:t>предусматривается обеспечить выход на проектные мощности новых производств по выпуску:</w:t>
      </w:r>
    </w:p>
    <w:p w:rsidR="00FA6157" w:rsidRDefault="00FA6157">
      <w:pPr>
        <w:pStyle w:val="newncpi"/>
      </w:pPr>
      <w:proofErr w:type="gramStart"/>
      <w:r>
        <w:t>сульфатной</w:t>
      </w:r>
      <w:proofErr w:type="gramEnd"/>
      <w:r>
        <w:t xml:space="preserve"> целлюлозы – 370 тыс. тонн в год в ОАО «Светлогорский целлюлозно-картонный комбинат»;</w:t>
      </w:r>
    </w:p>
    <w:p w:rsidR="00FA6157" w:rsidRDefault="00FA6157">
      <w:pPr>
        <w:pStyle w:val="newncpi"/>
      </w:pPr>
      <w:proofErr w:type="gramStart"/>
      <w:r>
        <w:t>мелованных</w:t>
      </w:r>
      <w:proofErr w:type="gramEnd"/>
      <w:r>
        <w:t xml:space="preserve"> и немелованных видов картона – 200 тыс. тонн в год в ОАО «Управляющая компания холдинга «Белорусские обои»;</w:t>
      </w:r>
    </w:p>
    <w:p w:rsidR="00FA6157" w:rsidRDefault="00FA6157">
      <w:pPr>
        <w:pStyle w:val="newncpi"/>
      </w:pPr>
      <w:proofErr w:type="gramStart"/>
      <w:r>
        <w:t>бумаги</w:t>
      </w:r>
      <w:proofErr w:type="gramEnd"/>
      <w:r>
        <w:t>-основы для декоративных облицовочных материалов – 30 тыс. тонн в год на РУП «Завод газетной бумаги».</w:t>
      </w:r>
    </w:p>
    <w:p w:rsidR="00FA6157" w:rsidRDefault="00FA6157">
      <w:pPr>
        <w:pStyle w:val="newncpi"/>
      </w:pPr>
      <w:r>
        <w:t>Будут реализованы комплексные проекты по освоению производства новых видов продукции на основе выстраивания кооперационных связей по углубленной переработке отечественного сырья и отходов деревообработки, в том числе:</w:t>
      </w:r>
    </w:p>
    <w:p w:rsidR="00FA6157" w:rsidRDefault="00FA6157">
      <w:pPr>
        <w:pStyle w:val="newncpi"/>
      </w:pPr>
      <w:proofErr w:type="gramStart"/>
      <w:r>
        <w:t>пеллетного</w:t>
      </w:r>
      <w:proofErr w:type="gramEnd"/>
      <w:r>
        <w:t xml:space="preserve"> производства на основе использования низкосортного древесного сырья с общим объемом выпуска продукции 2,8 млн. тонн за пять лет;</w:t>
      </w:r>
    </w:p>
    <w:p w:rsidR="00FA6157" w:rsidRDefault="00FA6157">
      <w:pPr>
        <w:pStyle w:val="newncpi"/>
      </w:pPr>
      <w:proofErr w:type="gramStart"/>
      <w:r>
        <w:t>производства</w:t>
      </w:r>
      <w:proofErr w:type="gramEnd"/>
      <w:r>
        <w:t xml:space="preserve"> мешочной бумаги для упаковки, специальных видов бумаги и картона с полимерным покрытием и других видов упаковочной продукции путем переработки сульфатной целлюлозы;</w:t>
      </w:r>
    </w:p>
    <w:p w:rsidR="00FA6157" w:rsidRDefault="00FA6157">
      <w:pPr>
        <w:pStyle w:val="newncpi"/>
      </w:pPr>
      <w:proofErr w:type="gramStart"/>
      <w:r>
        <w:t>производства</w:t>
      </w:r>
      <w:proofErr w:type="gramEnd"/>
      <w:r>
        <w:t xml:space="preserve"> новых видов продукции (жирных кислот, талловой канифоли) посредством углубленной переработки таллового масла (побочного продукта производства сульфатной беленой целлюлозы);</w:t>
      </w:r>
    </w:p>
    <w:p w:rsidR="00FA6157" w:rsidRDefault="00FA6157">
      <w:pPr>
        <w:pStyle w:val="newncpi"/>
      </w:pPr>
      <w:proofErr w:type="gramStart"/>
      <w:r>
        <w:t>производства</w:t>
      </w:r>
      <w:proofErr w:type="gramEnd"/>
      <w:r>
        <w:t xml:space="preserve"> экологически безопасной упаковки и одноразовой посуды (включая биоразлагаемую) из бумаги и картона;</w:t>
      </w:r>
    </w:p>
    <w:p w:rsidR="00FA6157" w:rsidRDefault="00FA6157">
      <w:pPr>
        <w:pStyle w:val="newncpi"/>
      </w:pPr>
      <w:proofErr w:type="gramStart"/>
      <w:r>
        <w:t>производства</w:t>
      </w:r>
      <w:proofErr w:type="gramEnd"/>
      <w:r>
        <w:t xml:space="preserve"> мебельных заготовок и мебели с использованием плитной продукции, в том числе с созданием мебельного кластера на базе ОАО «Ивацевичдрев» в свободной экономической зоне «Брест».</w:t>
      </w:r>
    </w:p>
    <w:p w:rsidR="00FA6157" w:rsidRDefault="00FA6157">
      <w:pPr>
        <w:pStyle w:val="newncpi"/>
      </w:pPr>
      <w:r>
        <w:t>Целевой ориентир – наращивание экспорта продукции в деревообработке до 4 млрд. долларов США к концу 2025 года.</w:t>
      </w:r>
    </w:p>
    <w:p w:rsidR="00FA6157" w:rsidRDefault="00FA6157">
      <w:pPr>
        <w:pStyle w:val="newncpi"/>
      </w:pPr>
      <w:r>
        <w:t>В</w:t>
      </w:r>
      <w:r>
        <w:rPr>
          <w:b/>
          <w:bCs/>
          <w:i/>
          <w:iCs/>
        </w:rPr>
        <w:t xml:space="preserve"> пищевой промышленности </w:t>
      </w:r>
      <w:r>
        <w:t>планируется увеличить объемы выпуска продукции с глубокой переработкой сельскохозяйственного сырья, в том числе с использованием биотехнологий, освоить производство принципиально новых экспортоориентированных продуктов, в том числе предназначенных для детей, беременных женщин, пожилых людей, для спортивного и диабетического питания.</w:t>
      </w:r>
    </w:p>
    <w:p w:rsidR="00FA6157" w:rsidRDefault="00FA6157">
      <w:pPr>
        <w:pStyle w:val="newncpi"/>
      </w:pPr>
      <w:r>
        <w:t> </w:t>
      </w:r>
    </w:p>
    <w:p w:rsidR="00FA6157" w:rsidRDefault="00FA6157">
      <w:pPr>
        <w:pStyle w:val="newncpi"/>
      </w:pPr>
      <w:r>
        <w:lastRenderedPageBreak/>
        <w:t>Крупнейшие инвестиционные проекты:</w:t>
      </w:r>
      <w:r>
        <w:rPr>
          <w:b/>
          <w:bCs/>
        </w:rPr>
        <w:t xml:space="preserve"> </w:t>
      </w:r>
    </w:p>
    <w:p w:rsidR="00FA6157" w:rsidRDefault="00FA6157">
      <w:pPr>
        <w:pStyle w:val="newncpi"/>
      </w:pPr>
      <w:proofErr w:type="gramStart"/>
      <w:r>
        <w:rPr>
          <w:i/>
          <w:iCs/>
        </w:rPr>
        <w:t>в</w:t>
      </w:r>
      <w:proofErr w:type="gramEnd"/>
      <w:r>
        <w:rPr>
          <w:i/>
          <w:iCs/>
        </w:rPr>
        <w:t xml:space="preserve"> молокопереработке:</w:t>
      </w:r>
    </w:p>
    <w:p w:rsidR="00FA6157" w:rsidRDefault="00FA6157">
      <w:pPr>
        <w:pStyle w:val="newncpi"/>
      </w:pPr>
      <w:proofErr w:type="gramStart"/>
      <w:r>
        <w:t>строительство</w:t>
      </w:r>
      <w:proofErr w:type="gramEnd"/>
      <w:r>
        <w:t xml:space="preserve"> цеха по производству сухого быстрорастворимого молока (цельного и обезжиренного) в Копыльском филиале ОАО «Слуцкий сыродельный комбинат»;</w:t>
      </w:r>
    </w:p>
    <w:p w:rsidR="00FA6157" w:rsidRDefault="00FA6157">
      <w:pPr>
        <w:pStyle w:val="newncpi"/>
      </w:pPr>
      <w:proofErr w:type="gramStart"/>
      <w:r>
        <w:t>строительство</w:t>
      </w:r>
      <w:proofErr w:type="gramEnd"/>
      <w:r>
        <w:t xml:space="preserve"> сыродельного цеха мощностью до 10 тонн сыра в сутки в ОАО «Полоцкий молочный комбинат»;</w:t>
      </w:r>
    </w:p>
    <w:p w:rsidR="00FA6157" w:rsidRDefault="00FA6157">
      <w:pPr>
        <w:pStyle w:val="newncpi"/>
      </w:pPr>
      <w:proofErr w:type="gramStart"/>
      <w:r>
        <w:rPr>
          <w:i/>
          <w:iCs/>
        </w:rPr>
        <w:t>в</w:t>
      </w:r>
      <w:proofErr w:type="gramEnd"/>
      <w:r>
        <w:rPr>
          <w:i/>
          <w:iCs/>
        </w:rPr>
        <w:t xml:space="preserve"> кондитерском производстве – </w:t>
      </w:r>
      <w:r>
        <w:t>освоение выпуска инновационной продукции на ПТУП «Красный пищевик – Славгород» (мармелада с витаминами, диабетического мармелада и другого);</w:t>
      </w:r>
    </w:p>
    <w:p w:rsidR="00FA6157" w:rsidRDefault="00FA6157">
      <w:pPr>
        <w:pStyle w:val="newncpi"/>
      </w:pPr>
      <w:proofErr w:type="gramStart"/>
      <w:r>
        <w:rPr>
          <w:i/>
          <w:iCs/>
        </w:rPr>
        <w:t>в</w:t>
      </w:r>
      <w:proofErr w:type="gramEnd"/>
      <w:r>
        <w:rPr>
          <w:i/>
          <w:iCs/>
        </w:rPr>
        <w:t xml:space="preserve"> сахарной отрасли – </w:t>
      </w:r>
      <w:r>
        <w:t>организация производства сухого гранулированного жома мощностью около 32 тыс. тонн с использованием тепловой энергии низкопотенциальных и вторичных источников в ОАО «Слуцкий сахарорафинадный комбинат». Это позволит решить проблему использования свекловичного жома в сезон переработки и нарастить экспорт продукции;</w:t>
      </w:r>
    </w:p>
    <w:p w:rsidR="00FA6157" w:rsidRDefault="00FA6157">
      <w:pPr>
        <w:pStyle w:val="newncpi"/>
      </w:pPr>
      <w:proofErr w:type="gramStart"/>
      <w:r>
        <w:rPr>
          <w:i/>
          <w:iCs/>
        </w:rPr>
        <w:t>в</w:t>
      </w:r>
      <w:proofErr w:type="gramEnd"/>
      <w:r>
        <w:rPr>
          <w:i/>
          <w:iCs/>
        </w:rPr>
        <w:t xml:space="preserve"> производстве алкогольной продукции – </w:t>
      </w:r>
      <w:r>
        <w:t>реконструкция филиала «Ивацевичский спиртзавод» ОАО «Брестский ликеро-водочный завод» с внедрением технологии по переработке послеспиртовой барды с получением сухого кормового продукта DDGS (мощность – 18,3 тыс. тонн в год), востребованного на внутреннем и экспортных рынках.</w:t>
      </w:r>
    </w:p>
    <w:p w:rsidR="00FA6157" w:rsidRDefault="00FA6157">
      <w:pPr>
        <w:pStyle w:val="newncpi"/>
      </w:pPr>
      <w:r>
        <w:t xml:space="preserve">В </w:t>
      </w:r>
      <w:r>
        <w:rPr>
          <w:b/>
          <w:bCs/>
          <w:i/>
          <w:iCs/>
        </w:rPr>
        <w:t xml:space="preserve">легкой промышленности </w:t>
      </w:r>
      <w:r>
        <w:t>предстоит завершить строительство и ввести новые производственные мощности в ОАО «Полесье», ОАО «Слонимская камвольно-прядильная фабрика», ОАО «Гронитекс», внедрить роботизированные программно-аппаратные комплексы в СООО «Белвест».</w:t>
      </w:r>
    </w:p>
    <w:p w:rsidR="00FA6157" w:rsidRDefault="00FA6157">
      <w:pPr>
        <w:pStyle w:val="newncpi"/>
      </w:pPr>
      <w:r>
        <w:t>Запланировано нарастить объемы производства полиэфирных тканей в ОАО «Моготекс».</w:t>
      </w:r>
    </w:p>
    <w:p w:rsidR="00FA6157" w:rsidRDefault="00FA6157">
      <w:pPr>
        <w:pStyle w:val="newncpi"/>
      </w:pPr>
      <w:r>
        <w:t>Будут введены новые производственные мощности на РУПТП «Оршанский льнокомбинат» и в перспективе создан с участием льнозаводов вертикально интегрированный льняной холдинг.</w:t>
      </w:r>
    </w:p>
    <w:p w:rsidR="00FA6157" w:rsidRDefault="00FA6157">
      <w:pPr>
        <w:pStyle w:val="newncpi"/>
      </w:pPr>
      <w:r>
        <w:t>Предстоит усовершенствовать производственную кооперацию и специализацию процессов: от низкономерного льноволокна до пряж и котонина, композиционных теплоизоляционных материалов, нетканых текстильных материалов широкого применения, от отходов кожевенного производства до белковой оболочки, коллагена, кормовых добавок.</w:t>
      </w:r>
    </w:p>
    <w:p w:rsidR="00FA6157" w:rsidRDefault="00FA6157">
      <w:pPr>
        <w:pStyle w:val="newncpi"/>
      </w:pPr>
      <w:r>
        <w:t>Планируется освоить производство инновационных видов пряж и котонина со специальными заданными свойствами.</w:t>
      </w:r>
    </w:p>
    <w:p w:rsidR="00FA6157" w:rsidRDefault="00FA6157">
      <w:pPr>
        <w:pStyle w:val="newncpi"/>
      </w:pPr>
      <w:r>
        <w:t>В результате за пятилетие будет дополнительно переработано 2,5 тыс. тонн низкономерного льноволокна, выпущено 188,3 млн. кв. метров тканей, 52,1 млн. штук трикотажных изделий, 11,1 млн. пар обуви.</w:t>
      </w:r>
    </w:p>
    <w:p w:rsidR="00FA6157" w:rsidRDefault="00FA6157">
      <w:pPr>
        <w:pStyle w:val="newncpi"/>
      </w:pPr>
      <w:r>
        <w:t>В производстве</w:t>
      </w:r>
      <w:r>
        <w:rPr>
          <w:b/>
          <w:bCs/>
        </w:rPr>
        <w:t xml:space="preserve"> </w:t>
      </w:r>
      <w:r>
        <w:rPr>
          <w:b/>
          <w:bCs/>
          <w:i/>
          <w:iCs/>
        </w:rPr>
        <w:t>строительных материалов</w:t>
      </w:r>
      <w:r>
        <w:t xml:space="preserve"> предполагается реализовать инвестиционные проекты по выпуску медицинского стекла в ОАО «Белмедстекло» и стеклотары в ОАО «Гродненский стеклозавод». Будет продолжена модернизация предприятий стекольной и цементной промышленности, что позволит увеличить долю отечественной строительной продукции, используемой при строительстве объектов в республике, до 85 процентов.</w:t>
      </w:r>
    </w:p>
    <w:p w:rsidR="00FA6157" w:rsidRDefault="00FA6157">
      <w:pPr>
        <w:pStyle w:val="newncpi"/>
      </w:pPr>
      <w:r>
        <w:t>Всего в промышленном комплексе запланировано к реализации 26 новых проектов с использованием местного сырья на сумму около 2 млрд. рублей.</w:t>
      </w:r>
    </w:p>
    <w:p w:rsidR="00FA6157" w:rsidRDefault="00FA6157">
      <w:pPr>
        <w:pStyle w:val="newncpi"/>
      </w:pPr>
      <w:r>
        <w:rPr>
          <w:b/>
          <w:bCs/>
        </w:rPr>
        <w:t>Предусматривается усиление политики рационального импортозамещения</w:t>
      </w:r>
      <w:r>
        <w:rPr>
          <w:b/>
          <w:bCs/>
          <w:i/>
          <w:iCs/>
        </w:rPr>
        <w:t xml:space="preserve"> </w:t>
      </w:r>
      <w:r>
        <w:t>с учетом выпуска новых высокотехнологичных и экспортоориентированных товаров, в том числе в рамках ЕАЭС, и максимальной локализации производства.</w:t>
      </w:r>
    </w:p>
    <w:p w:rsidR="00FA6157" w:rsidRDefault="00FA6157">
      <w:pPr>
        <w:pStyle w:val="newncpi"/>
      </w:pPr>
      <w:r>
        <w:t xml:space="preserve">Будет освоено более 260 новых видов импортозамещающей продукции, из них около 25 принципиально новых для республики, в том числе электрогрузовиков, карьерных самосвалов на аккумуляторных батареях, роботов-челноков без кабины грузоподъемностью 136 тонн, электросамокатов, электровелосипедов и станций подзарядки к ним, аминокислот, используемых в производстве кормов для животных </w:t>
      </w:r>
      <w:r>
        <w:lastRenderedPageBreak/>
        <w:t>и птиц, противоопухолевых средств, нефтяного кокса, картона хром-эрзац мелованного, материала тентового с ПВХ-покрытием, грузовых электромобилей с подготовкой под установку системы беспилотного управления и другого.</w:t>
      </w:r>
    </w:p>
    <w:p w:rsidR="00FA6157" w:rsidRDefault="00FA6157">
      <w:pPr>
        <w:pStyle w:val="newncpi"/>
      </w:pPr>
      <w:r>
        <w:t>Производство импортозамещающей продукции увеличится до 22,3 млрд. долларов США с общим приростом производства 4 млрд. долларов США.</w:t>
      </w:r>
    </w:p>
    <w:p w:rsidR="00FA6157" w:rsidRDefault="00FA6157">
      <w:pPr>
        <w:pStyle w:val="newncpi"/>
      </w:pPr>
      <w:r>
        <w:t>Реализация политики рационального импортозамещения и обеспечение внутренних потребностей страны будут осуществляться посредством:</w:t>
      </w:r>
    </w:p>
    <w:p w:rsidR="00FA6157" w:rsidRDefault="00FA6157">
      <w:pPr>
        <w:pStyle w:val="newncpi"/>
      </w:pPr>
      <w:proofErr w:type="gramStart"/>
      <w:r>
        <w:t>ежегодного</w:t>
      </w:r>
      <w:proofErr w:type="gramEnd"/>
      <w:r>
        <w:t xml:space="preserve"> формирования отраслевых и региональных планов мероприятий по производству импортозамещающей продукции с упором на отечественные компетенции в традиционных отраслях и создание высокотехнологичных производств в различных сферах экономики;</w:t>
      </w:r>
    </w:p>
    <w:p w:rsidR="00FA6157" w:rsidRDefault="00FA6157">
      <w:pPr>
        <w:pStyle w:val="newncpi"/>
      </w:pPr>
      <w:proofErr w:type="gramStart"/>
      <w:r>
        <w:t>принятия</w:t>
      </w:r>
      <w:proofErr w:type="gramEnd"/>
      <w:r>
        <w:t xml:space="preserve"> мер по защите внутреннего рынка с разработкой и утверждением соответствующих мероприятий;</w:t>
      </w:r>
    </w:p>
    <w:p w:rsidR="00FA6157" w:rsidRDefault="00FA6157">
      <w:pPr>
        <w:pStyle w:val="newncpi"/>
      </w:pPr>
      <w:proofErr w:type="gramStart"/>
      <w:r>
        <w:t>вовлечения</w:t>
      </w:r>
      <w:proofErr w:type="gramEnd"/>
      <w:r>
        <w:t xml:space="preserve"> малого и среднего бизнеса в кооперационные цепочки при производстве товаров (узлов, комплектующих) крупными предприятиями, в том числе путем проведения бирж субконтрактов и доведения доли малого и среднего бизнеса в производстве импортозамещающей продукции в каждом регионе до 50 процентов;</w:t>
      </w:r>
    </w:p>
    <w:p w:rsidR="00FA6157" w:rsidRDefault="00FA6157">
      <w:pPr>
        <w:pStyle w:val="newncpi"/>
      </w:pPr>
      <w:proofErr w:type="gramStart"/>
      <w:r>
        <w:t>развития</w:t>
      </w:r>
      <w:proofErr w:type="gramEnd"/>
      <w:r>
        <w:t xml:space="preserve"> (создания) совместных производственных мощностей на территориях государств – членов ЕАЭС, нацеленных на замещение импорта из третьих стран.</w:t>
      </w:r>
    </w:p>
    <w:p w:rsidR="00FA6157" w:rsidRDefault="00FA6157">
      <w:pPr>
        <w:pStyle w:val="newncpi"/>
      </w:pPr>
      <w:r>
        <w:rPr>
          <w:b/>
          <w:bCs/>
        </w:rPr>
        <w:t>Снижение затрат на производство</w:t>
      </w:r>
      <w:r>
        <w:rPr>
          <w:b/>
          <w:bCs/>
          <w:i/>
          <w:iCs/>
        </w:rPr>
        <w:t xml:space="preserve"> </w:t>
      </w:r>
      <w:r>
        <w:t>потребует:</w:t>
      </w:r>
    </w:p>
    <w:p w:rsidR="00FA6157" w:rsidRDefault="00FA6157">
      <w:pPr>
        <w:pStyle w:val="newncpi"/>
      </w:pPr>
      <w:proofErr w:type="gramStart"/>
      <w:r>
        <w:t>освоения</w:t>
      </w:r>
      <w:proofErr w:type="gramEnd"/>
      <w:r>
        <w:t xml:space="preserve"> современных систем управления производством и реализации продукции;</w:t>
      </w:r>
    </w:p>
    <w:p w:rsidR="00FA6157" w:rsidRDefault="00FA6157">
      <w:pPr>
        <w:pStyle w:val="newncpi"/>
      </w:pPr>
      <w:proofErr w:type="gramStart"/>
      <w:r>
        <w:t>внедрения</w:t>
      </w:r>
      <w:proofErr w:type="gramEnd"/>
      <w:r>
        <w:t xml:space="preserve"> ресурсосберегающего оборудования и технологических процессов, освоения систем умного производства, включая роботизацию;</w:t>
      </w:r>
    </w:p>
    <w:p w:rsidR="00FA6157" w:rsidRDefault="00FA6157">
      <w:pPr>
        <w:pStyle w:val="newncpi"/>
      </w:pPr>
      <w:proofErr w:type="gramStart"/>
      <w:r>
        <w:t>оптимизации</w:t>
      </w:r>
      <w:proofErr w:type="gramEnd"/>
      <w:r>
        <w:t xml:space="preserve"> вспомогательных бизнес-процессов, в том числе их передачи сторонним организациям (на аутсорсинг).</w:t>
      </w:r>
    </w:p>
    <w:p w:rsidR="00FA6157" w:rsidRDefault="00FA6157">
      <w:pPr>
        <w:pStyle w:val="newncpi"/>
      </w:pPr>
      <w:r>
        <w:t>Целевой ориентир – ежегодное снижение затрат на производство на 1,5–2 процента.</w:t>
      </w:r>
    </w:p>
    <w:p w:rsidR="00FA6157" w:rsidRDefault="00FA6157">
      <w:pPr>
        <w:pStyle w:val="newncpi"/>
      </w:pPr>
      <w:r>
        <w:rPr>
          <w:b/>
          <w:bCs/>
        </w:rPr>
        <w:t xml:space="preserve">Повышению качества и безопасности продукции </w:t>
      </w:r>
      <w:r>
        <w:t>будет способствовать</w:t>
      </w:r>
      <w:r>
        <w:rPr>
          <w:b/>
          <w:bCs/>
        </w:rPr>
        <w:t xml:space="preserve"> </w:t>
      </w:r>
      <w:r>
        <w:t>внедрение в практику хозяйственной деятельности требований прогрессивных международных и европейских стандартов, стандартизированных методик и техник качества.</w:t>
      </w:r>
    </w:p>
    <w:p w:rsidR="00FA6157" w:rsidRDefault="00FA6157">
      <w:pPr>
        <w:pStyle w:val="newncpi"/>
      </w:pPr>
      <w:r>
        <w:t>Планируется освоить системы управления качеством продукции с использованием ІТ-технологий, развить испытательную и измерительную базы</w:t>
      </w:r>
      <w:r>
        <w:rPr>
          <w:b/>
          <w:bCs/>
          <w:i/>
          <w:iCs/>
        </w:rPr>
        <w:t xml:space="preserve"> </w:t>
      </w:r>
      <w:r>
        <w:t>для</w:t>
      </w:r>
      <w:r>
        <w:rPr>
          <w:b/>
          <w:bCs/>
          <w:i/>
          <w:iCs/>
        </w:rPr>
        <w:t xml:space="preserve"> </w:t>
      </w:r>
      <w:r>
        <w:t>создания конкурентоспособной продукции.</w:t>
      </w:r>
    </w:p>
    <w:p w:rsidR="00FA6157" w:rsidRDefault="00FA6157">
      <w:pPr>
        <w:pStyle w:val="newncpi"/>
      </w:pPr>
      <w:r>
        <w:t>Наряду с ответственностью за продажу на рынке некачественной продукции усилится пресечение оборота контрафактной и небезопасной продукции.</w:t>
      </w:r>
    </w:p>
    <w:p w:rsidR="00FA6157" w:rsidRDefault="00FA6157">
      <w:pPr>
        <w:pStyle w:val="newncpi"/>
      </w:pPr>
      <w:r>
        <w:t>Предстоит разработать и реализовать программы повышения качества продукции, в том числе на отраслевом уровне.</w:t>
      </w:r>
    </w:p>
    <w:p w:rsidR="00FA6157" w:rsidRDefault="00FA6157">
      <w:pPr>
        <w:pStyle w:val="newncpi"/>
      </w:pPr>
      <w:r>
        <w:t xml:space="preserve">Новым трендом развития промышленности станет ее </w:t>
      </w:r>
      <w:r>
        <w:rPr>
          <w:b/>
          <w:bCs/>
          <w:i/>
          <w:iCs/>
        </w:rPr>
        <w:t>экологизация</w:t>
      </w:r>
      <w:r>
        <w:t xml:space="preserve"> за счет реализации мер вторичного вовлечения в хозяйственный оборот отходов (бумаги, стекла, пластика, аккумуляторов и другого), а также увеличения выпуска экологически безопасной (перерабатываемой) продукции.</w:t>
      </w:r>
    </w:p>
    <w:p w:rsidR="00FA6157" w:rsidRDefault="00FA6157">
      <w:pPr>
        <w:pStyle w:val="newncpi"/>
      </w:pPr>
      <w:r>
        <w:t>Для использования твердых коммунальных отходов (далее – ТКО) будут созданы новые производства по их сортировке и переработке.</w:t>
      </w:r>
    </w:p>
    <w:p w:rsidR="00FA6157" w:rsidRDefault="00FA6157">
      <w:pPr>
        <w:pStyle w:val="newncpi"/>
      </w:pPr>
      <w:r>
        <w:rPr>
          <w:b/>
          <w:bCs/>
        </w:rPr>
        <w:t>Предусматривается проведение работы по формированию новых организационных бизнес-моделей</w:t>
      </w:r>
      <w:r>
        <w:t xml:space="preserve"> взаимодействия предприятий, в том числе путем объединения инициативы частного бизнеса, крупных государственных компаний, учреждений образования и науки.</w:t>
      </w:r>
    </w:p>
    <w:p w:rsidR="00FA6157" w:rsidRDefault="00FA6157">
      <w:pPr>
        <w:pStyle w:val="newncpi"/>
      </w:pPr>
      <w:r>
        <w:t>Намечено создать тринадцать кластеров, развитие которых будет нацелено на освоение выпуска новых продуктов и их продвижение на рынок.</w:t>
      </w:r>
    </w:p>
    <w:p w:rsidR="00FA6157" w:rsidRDefault="00FA6157">
      <w:pPr>
        <w:pStyle w:val="newncpi"/>
      </w:pPr>
      <w:r>
        <w:t>Предполагается сформировать не менее шести крупных государственных промышленных объединений в машиностроительной отрасли, деревообрабатывающей, легкой и пищевой промышленности.</w:t>
      </w:r>
    </w:p>
    <w:p w:rsidR="00FA6157" w:rsidRDefault="00FA6157">
      <w:pPr>
        <w:pStyle w:val="newncpi"/>
      </w:pPr>
      <w:r>
        <w:lastRenderedPageBreak/>
        <w:t>В течение пятилетия в промышленном комплексе планируется реализовать более 500 инвестиционных проектов, направить около 80 млрд. рублей инвестиций в развитие промышленности.</w:t>
      </w:r>
    </w:p>
    <w:p w:rsidR="00FA6157" w:rsidRDefault="00FA6157">
      <w:pPr>
        <w:pStyle w:val="newncpi"/>
      </w:pPr>
      <w:r>
        <w:t>В результате реализации намеченных мер добавленная стоимость на одного среднесписочного работника составит не менее 25 тыс. долларов США в 2025 году, производительность труда увеличится в 1,3 раза, рентабельность продаж в промышленности составит не менее 9 процентов.</w:t>
      </w:r>
    </w:p>
    <w:p w:rsidR="00FA6157" w:rsidRDefault="00FA6157">
      <w:pPr>
        <w:pStyle w:val="newncpi"/>
      </w:pPr>
      <w:r>
        <w:t>Инструментом выполнения поставленных задач станет</w:t>
      </w:r>
      <w:r>
        <w:rPr>
          <w:b/>
          <w:bCs/>
        </w:rPr>
        <w:t xml:space="preserve"> </w:t>
      </w:r>
      <w:r>
        <w:t>реализация государственных и отраслевых программ, в том числе импортозамещения, на 2021–2025 годы.</w:t>
      </w:r>
    </w:p>
    <w:p w:rsidR="00FA6157" w:rsidRDefault="00FA6157">
      <w:pPr>
        <w:pStyle w:val="newncpi"/>
      </w:pPr>
      <w:r>
        <w:t> </w:t>
      </w:r>
    </w:p>
    <w:p w:rsidR="00FA6157" w:rsidRDefault="00FA6157">
      <w:pPr>
        <w:pStyle w:val="underpoint"/>
      </w:pPr>
      <w:r>
        <w:rPr>
          <w:b/>
          <w:bCs/>
        </w:rPr>
        <w:t>6.2. Устойчивая энергетика и энергоэффективность</w:t>
      </w:r>
    </w:p>
    <w:p w:rsidR="00FA6157" w:rsidRDefault="00FA6157">
      <w:pPr>
        <w:pStyle w:val="newncpi"/>
      </w:pPr>
      <w:r>
        <w:t> </w:t>
      </w:r>
    </w:p>
    <w:p w:rsidR="00FA6157" w:rsidRDefault="00FA6157">
      <w:pPr>
        <w:pStyle w:val="newncpi"/>
      </w:pPr>
      <w:r>
        <w:t>В сфере энергетики основные усилия будут направлены на повышение энергетической самостоятельности страны и энергоэффективности во всех секторах экономики.</w:t>
      </w:r>
    </w:p>
    <w:p w:rsidR="00FA6157" w:rsidRDefault="00FA6157">
      <w:pPr>
        <w:pStyle w:val="newncpi"/>
      </w:pPr>
      <w:r>
        <w:t>Одна из главных задач</w:t>
      </w:r>
      <w:r>
        <w:rPr>
          <w:b/>
          <w:bCs/>
        </w:rPr>
        <w:t xml:space="preserve"> </w:t>
      </w:r>
      <w:r>
        <w:t xml:space="preserve">– </w:t>
      </w:r>
      <w:r>
        <w:rPr>
          <w:b/>
          <w:bCs/>
        </w:rPr>
        <w:t>снизить зависимость экономики от углеводородов</w:t>
      </w:r>
      <w:r>
        <w:t>,</w:t>
      </w:r>
      <w:r>
        <w:rPr>
          <w:b/>
          <w:bCs/>
        </w:rPr>
        <w:t xml:space="preserve"> </w:t>
      </w:r>
      <w:r>
        <w:t>что будет обеспечиваться за счет:</w:t>
      </w:r>
    </w:p>
    <w:p w:rsidR="00FA6157" w:rsidRDefault="00FA6157">
      <w:pPr>
        <w:pStyle w:val="newncpi"/>
      </w:pPr>
      <w:proofErr w:type="gramStart"/>
      <w:r>
        <w:t>ввода</w:t>
      </w:r>
      <w:proofErr w:type="gramEnd"/>
      <w:r>
        <w:t xml:space="preserve"> БелАЭС, которая при ее выходе на полную мощность позволит заместить около 4,5 млрд. куб. метров природного газа в год для выработки тепловой и электрической энергии;</w:t>
      </w:r>
    </w:p>
    <w:p w:rsidR="00FA6157" w:rsidRDefault="00FA6157">
      <w:pPr>
        <w:pStyle w:val="newncpi"/>
      </w:pPr>
      <w:proofErr w:type="gramStart"/>
      <w:r>
        <w:t>диверсификации</w:t>
      </w:r>
      <w:proofErr w:type="gramEnd"/>
      <w:r>
        <w:t xml:space="preserve"> топливно-энергетических ресурсов и стран-поставщиков;</w:t>
      </w:r>
    </w:p>
    <w:p w:rsidR="00FA6157" w:rsidRDefault="00FA6157">
      <w:pPr>
        <w:pStyle w:val="newncpi"/>
      </w:pPr>
      <w:proofErr w:type="gramStart"/>
      <w:r>
        <w:t>использования</w:t>
      </w:r>
      <w:proofErr w:type="gramEnd"/>
      <w:r>
        <w:t xml:space="preserve"> местных топливно-энергетических ресурсов, в том числе возобновляемых источников энергии.</w:t>
      </w:r>
    </w:p>
    <w:p w:rsidR="00FA6157" w:rsidRDefault="00FA6157">
      <w:pPr>
        <w:pStyle w:val="newncpi"/>
      </w:pPr>
      <w:r>
        <w:t>Предстоит интегрировать</w:t>
      </w:r>
      <w:r>
        <w:rPr>
          <w:b/>
          <w:bCs/>
          <w:i/>
          <w:iCs/>
        </w:rPr>
        <w:t xml:space="preserve"> </w:t>
      </w:r>
      <w:r>
        <w:t>БелАЭС в энергосистему и создать условия для</w:t>
      </w:r>
      <w:r>
        <w:rPr>
          <w:b/>
          <w:bCs/>
          <w:i/>
          <w:iCs/>
        </w:rPr>
        <w:t xml:space="preserve"> </w:t>
      </w:r>
      <w:r>
        <w:t>увеличения использования электроэнергии потребителями.</w:t>
      </w:r>
      <w:r>
        <w:rPr>
          <w:b/>
          <w:bCs/>
          <w:i/>
          <w:iCs/>
        </w:rPr>
        <w:t xml:space="preserve"> </w:t>
      </w:r>
      <w:r>
        <w:t>Для этого планируется осуществить строительство пиково-резервных энергоисточников суммарной установленной мощностью до 800 МВт на Лукомльской ГРЭС, Новополоцкой ТЭЦ, Березовской ГРЭС и ТЭЦ-5.</w:t>
      </w:r>
    </w:p>
    <w:p w:rsidR="00FA6157" w:rsidRDefault="00FA6157">
      <w:pPr>
        <w:pStyle w:val="newncpi"/>
      </w:pPr>
      <w:r>
        <w:t>Намечено реализовать проекты по строительству и реконструкции:</w:t>
      </w:r>
    </w:p>
    <w:p w:rsidR="00FA6157" w:rsidRDefault="00FA6157">
      <w:pPr>
        <w:pStyle w:val="newncpi"/>
      </w:pPr>
      <w:proofErr w:type="gramStart"/>
      <w:r>
        <w:t>электрических</w:t>
      </w:r>
      <w:proofErr w:type="gramEnd"/>
      <w:r>
        <w:t xml:space="preserve"> подстанций, наиболее крупными из которых станут проекты по реконструкции подстанций «Полоцкая-330», «Орша-330», «Столбцы»;</w:t>
      </w:r>
    </w:p>
    <w:p w:rsidR="00FA6157" w:rsidRDefault="00FA6157">
      <w:pPr>
        <w:pStyle w:val="newncpi"/>
      </w:pPr>
      <w:proofErr w:type="gramStart"/>
      <w:r>
        <w:t>электрических</w:t>
      </w:r>
      <w:proofErr w:type="gramEnd"/>
      <w:r>
        <w:t xml:space="preserve"> сетей всех классов напряжения, с 2022 года – около 2700 километров в год.</w:t>
      </w:r>
    </w:p>
    <w:p w:rsidR="00FA6157" w:rsidRDefault="00FA6157">
      <w:pPr>
        <w:pStyle w:val="newncpi"/>
      </w:pPr>
      <w:r>
        <w:t>Важный вектор деятельности –</w:t>
      </w:r>
      <w:r>
        <w:rPr>
          <w:b/>
          <w:bCs/>
        </w:rPr>
        <w:t xml:space="preserve"> развитие (обновление) сетевой инфраструктуры</w:t>
      </w:r>
      <w:r>
        <w:t>, что позволит повысить надежность энергоснабжения и снизить эксплуатационные затраты.</w:t>
      </w:r>
    </w:p>
    <w:p w:rsidR="00FA6157" w:rsidRDefault="00FA6157">
      <w:pPr>
        <w:pStyle w:val="newncpi"/>
      </w:pPr>
      <w:r>
        <w:t>В этих целях намечены строительство (реконструкция) тепловых сетей системы Министерства энергетики, начиная с 2022 года – до 280 километров в год, замена и реконструкция действующих газопроводов. В отдельных населенных пунктах сельской местности будет осуществлен перевод потребителей с сжиженного на природный газ, завершено строительство кольцевого газопровода вокруг г. Минска.</w:t>
      </w:r>
    </w:p>
    <w:p w:rsidR="00FA6157" w:rsidRDefault="00FA6157">
      <w:pPr>
        <w:pStyle w:val="newncpi"/>
      </w:pPr>
      <w:r>
        <w:t>Предусматриваются меры по цифровой трансформации электроэнергетики, в том числе посредством автоматизации технологических и бизнес-процессов. Планируются также автоматизация и цифровизация газового сектора, в том числе управления технологическими процессами, эксплуатации объектов и предоставления услуг всем категориям потребителей.</w:t>
      </w:r>
    </w:p>
    <w:p w:rsidR="00FA6157" w:rsidRDefault="00FA6157">
      <w:pPr>
        <w:pStyle w:val="newncpi"/>
      </w:pPr>
      <w:r>
        <w:t>Намечено строительство (реконструкция) объектов энергетической инфраструктуры в свободных экономических зонах (подстанции напряжением 110/10 кВ, подводящего газопровода высокого давления) для поддержания инвестиционной привлекательности и развития инфраструктуры «точек роста» регионов.</w:t>
      </w:r>
    </w:p>
    <w:p w:rsidR="00FA6157" w:rsidRDefault="00FA6157">
      <w:pPr>
        <w:pStyle w:val="newncpi"/>
      </w:pPr>
      <w:r>
        <w:t xml:space="preserve">Предстоит усовершенствовать отношения в области энергоснабжения, в том числе для развития конкуренции при купле-продаже электрической энергии (ввести для всех производителей электроэнергии услуги по оперативно-диспетчерскому управлению в электроэнергетике, для владельцев блок-станций – услуги по распределению (в пределах </w:t>
      </w:r>
      <w:r>
        <w:lastRenderedPageBreak/>
        <w:t>области), передаче и распределению (в пределах республики) по государственным электрическим сетям излишков произведенной блок-станциями электроэнергии на свои объекты, а также для обеспечения купли-продажи таких излишков между организациями жилищно-коммунального хозяйства).</w:t>
      </w:r>
    </w:p>
    <w:p w:rsidR="00FA6157" w:rsidRDefault="00FA6157">
      <w:pPr>
        <w:pStyle w:val="newncpi"/>
      </w:pPr>
      <w:r>
        <w:t>Повышение уровня энергоэффективности во всех секторах экономики</w:t>
      </w:r>
      <w:r>
        <w:rPr>
          <w:b/>
          <w:bCs/>
        </w:rPr>
        <w:t xml:space="preserve"> </w:t>
      </w:r>
      <w:r>
        <w:t>будет достигаться за счет внедрения перспективных и энергосберегающих технологий, оборудования и материалов, в том числе повышения эффективности технологических процессов с углублением электрификации производства, методов стандартизации. Планируется оптимизировать схемы теплоснабжения. Будут усовершенствованы организационно-экономические инструменты стимулирования энергосбережения.</w:t>
      </w:r>
    </w:p>
    <w:p w:rsidR="00FA6157" w:rsidRDefault="00FA6157">
      <w:pPr>
        <w:pStyle w:val="newncpi"/>
      </w:pPr>
      <w:r>
        <w:t>Реализация намеченных мер позволит снизить уровень энергоемкости ВВП за пятилетие не менее чем на 7 процентов.</w:t>
      </w:r>
    </w:p>
    <w:p w:rsidR="00FA6157" w:rsidRDefault="00FA6157">
      <w:pPr>
        <w:pStyle w:val="newncpi"/>
      </w:pPr>
      <w:r>
        <w:t>Основными результатами станут:</w:t>
      </w:r>
    </w:p>
    <w:p w:rsidR="00FA6157" w:rsidRDefault="00FA6157">
      <w:pPr>
        <w:pStyle w:val="newncpi"/>
      </w:pPr>
      <w:proofErr w:type="gramStart"/>
      <w:r>
        <w:t>доля</w:t>
      </w:r>
      <w:proofErr w:type="gramEnd"/>
      <w:r>
        <w:t xml:space="preserve"> доминирующего энергоресурса (природного газа) в производстве тепловой и электрической энергии организациями системы Министерства энергетики в 2025 году – до 65 процентов;</w:t>
      </w:r>
    </w:p>
    <w:p w:rsidR="00FA6157" w:rsidRDefault="00FA6157">
      <w:pPr>
        <w:pStyle w:val="newncpi"/>
      </w:pPr>
      <w:proofErr w:type="gramStart"/>
      <w:r>
        <w:t>удельный</w:t>
      </w:r>
      <w:proofErr w:type="gramEnd"/>
      <w:r>
        <w:t xml:space="preserve"> вес накопленной амортизации в первоначальной стоимости основных средств организаций топливно-энергетического комплекса в 2025 году – не выше 45 процентов;</w:t>
      </w:r>
    </w:p>
    <w:p w:rsidR="00FA6157" w:rsidRDefault="00FA6157">
      <w:pPr>
        <w:pStyle w:val="newncpi"/>
      </w:pPr>
      <w:proofErr w:type="gramStart"/>
      <w:r>
        <w:t>экономия</w:t>
      </w:r>
      <w:proofErr w:type="gramEnd"/>
      <w:r>
        <w:t xml:space="preserve"> топливно-энергетических ресурсов за счет реализации энергоэффективных мероприятий – 2,5–3 млн. тонн условного топлива за пятилетие;</w:t>
      </w:r>
    </w:p>
    <w:p w:rsidR="00FA6157" w:rsidRDefault="00FA6157">
      <w:pPr>
        <w:pStyle w:val="newncpi"/>
      </w:pPr>
      <w:proofErr w:type="gramStart"/>
      <w:r>
        <w:t>отношение</w:t>
      </w:r>
      <w:proofErr w:type="gramEnd"/>
      <w:r>
        <w:t xml:space="preserve"> среднесуточного количества нарушений электроснабжения населенных пунктов за год к общему количеству населенных пунктов – не более 0,4 процента.</w:t>
      </w:r>
    </w:p>
    <w:p w:rsidR="00FA6157" w:rsidRDefault="00FA6157">
      <w:pPr>
        <w:pStyle w:val="newncpi"/>
      </w:pPr>
      <w:r>
        <w:t>Инструментом выполнения поставленных задач станет реализация Программы комплексной модернизации производств энергетической сферы на 2021–2025 годы, Программы комплексной модернизации производств газовой сферы на 2021–2025 годы, государственных программ на 2021–2025 годы «Энергосбережение», «Строительство жилья», «Комфортное жилье и благоприятная среда».</w:t>
      </w:r>
    </w:p>
    <w:p w:rsidR="00FA6157" w:rsidRDefault="00FA6157">
      <w:pPr>
        <w:pStyle w:val="newncpi"/>
      </w:pPr>
      <w:r>
        <w:t> </w:t>
      </w:r>
    </w:p>
    <w:p w:rsidR="00FA6157" w:rsidRDefault="00FA6157">
      <w:pPr>
        <w:pStyle w:val="underpoint"/>
      </w:pPr>
      <w:r>
        <w:rPr>
          <w:b/>
          <w:bCs/>
        </w:rPr>
        <w:t>6.3. Эффективное сельское хозяйство</w:t>
      </w:r>
    </w:p>
    <w:p w:rsidR="00FA6157" w:rsidRDefault="00FA6157">
      <w:pPr>
        <w:pStyle w:val="newncpi"/>
      </w:pPr>
      <w:r>
        <w:t> </w:t>
      </w:r>
    </w:p>
    <w:p w:rsidR="00FA6157" w:rsidRDefault="00FA6157">
      <w:pPr>
        <w:pStyle w:val="newncpi"/>
      </w:pPr>
      <w:r>
        <w:t>Главная цель развития сельского хозяйства – повышение его конкурентоспособности при сохранении продовольственной безопасности страны.</w:t>
      </w:r>
    </w:p>
    <w:p w:rsidR="00FA6157" w:rsidRDefault="00FA6157">
      <w:pPr>
        <w:pStyle w:val="newncpi"/>
      </w:pPr>
      <w:r>
        <w:t>Акцент будет сделан на повышение эффективности использования сырьевых зон по производству сельскохозяйственного сырья с учетом потенциала земельных ресурсов и потребности перерабатывающих производств.</w:t>
      </w:r>
    </w:p>
    <w:p w:rsidR="00FA6157" w:rsidRDefault="00FA6157">
      <w:pPr>
        <w:pStyle w:val="newncpi"/>
      </w:pPr>
      <w:r>
        <w:t>Предстоит усилить дисциплину землепользования, повысить эффективность работы по улучшению использования земель сельскохозяйственного назначения.</w:t>
      </w:r>
    </w:p>
    <w:p w:rsidR="00FA6157" w:rsidRDefault="00FA6157">
      <w:pPr>
        <w:pStyle w:val="newncpi"/>
      </w:pPr>
      <w:r>
        <w:t>Своевременное проведение комплекса мероприятий по обеспечению нормативного состояния мелиоративных систем позволит поддерживать оптимальные воздушный, тепловой и питательный режимы на мелиорированных землях.</w:t>
      </w:r>
    </w:p>
    <w:p w:rsidR="00FA6157" w:rsidRDefault="00FA6157">
      <w:pPr>
        <w:pStyle w:val="newncpi"/>
      </w:pPr>
      <w:r>
        <w:t>Продолжится работа по обеспечению сельскохозяйственных организаций под нормативную потребность высокопроизводительными средствами механизации, оснащенными бортовыми компьютерами и системами навигации отечественного производства, производственными комплексами.</w:t>
      </w:r>
    </w:p>
    <w:p w:rsidR="00FA6157" w:rsidRDefault="00FA6157">
      <w:pPr>
        <w:pStyle w:val="newncpi"/>
      </w:pPr>
      <w:r>
        <w:t>Получат развитие перспективные направления сельскохозяйственного производства – овцеводство, пчеловодство, садоводство, выращивание бахчевых и ягодных культур.</w:t>
      </w:r>
    </w:p>
    <w:p w:rsidR="00FA6157" w:rsidRDefault="00FA6157">
      <w:pPr>
        <w:pStyle w:val="newncpi"/>
      </w:pPr>
      <w:r>
        <w:t>Планируется углубить производственную кооперацию, создать кооперативно-интеграционные формирования с участием организаций, перерабатывающих сельскохозяйственную продукцию.</w:t>
      </w:r>
    </w:p>
    <w:p w:rsidR="00FA6157" w:rsidRDefault="00FA6157">
      <w:pPr>
        <w:pStyle w:val="newncpi"/>
      </w:pPr>
      <w:r>
        <w:t>Обеспечение биобезопасности агропромышленного комплекса позволит увеличить объемы производства экологически чистой продукции.</w:t>
      </w:r>
    </w:p>
    <w:p w:rsidR="00FA6157" w:rsidRDefault="00FA6157">
      <w:pPr>
        <w:pStyle w:val="newncpi"/>
      </w:pPr>
      <w:r>
        <w:lastRenderedPageBreak/>
        <w:t>В</w:t>
      </w:r>
      <w:r>
        <w:rPr>
          <w:b/>
          <w:bCs/>
          <w:i/>
          <w:iCs/>
        </w:rPr>
        <w:t xml:space="preserve"> растениеводстве </w:t>
      </w:r>
      <w:r>
        <w:t>будут внедрены новые адаптивные системы земледелия, эффективные технологии выращивания сельскохозяйственных растений, повышена урожайность сельскохозяйственных культур путем использования интенсивных сортов и соблюдения технологических регламентов.</w:t>
      </w:r>
    </w:p>
    <w:p w:rsidR="00FA6157" w:rsidRDefault="00FA6157">
      <w:pPr>
        <w:pStyle w:val="newncpi"/>
      </w:pPr>
      <w:r>
        <w:t>Основной критерий эффективности – рост прибыли с единицы площади сельскохозяйственных угодий.</w:t>
      </w:r>
    </w:p>
    <w:p w:rsidR="00FA6157" w:rsidRDefault="00FA6157">
      <w:pPr>
        <w:pStyle w:val="newncpi"/>
      </w:pPr>
      <w:r>
        <w:t>Улучшение структуры посевных площадей позволит сократить импорт зерна и белкового сырья. Планируется увеличить производство зерна до 10 млн. тонн в 2025 году, обеспечив рост урожайности зерновых культур до 40 центнеров с гектара; зернобобовых культур – до 1 млн. тонн, увеличив их посевы до 350 тыс. гектаров; маслосемян рапса – до 820 тыс. тонн, расширив посевные площади рапса до 450 тыс. гектаров.</w:t>
      </w:r>
    </w:p>
    <w:p w:rsidR="00FA6157" w:rsidRDefault="00FA6157">
      <w:pPr>
        <w:pStyle w:val="newncpi"/>
      </w:pPr>
      <w:r>
        <w:t>Развитие новых перспективных направлений сельскохозяйственного производства будет осуществляться с учетом изменяющихся погодно-климатических условий. Намечено освоить производство теплолюбивых и засухоустойчивых бахчевых культур, грецкого ореха, абрикосов в южных районах страны. Запланирована ежегодная закладка садовых насаждений на площади не менее 500 гектаров.</w:t>
      </w:r>
    </w:p>
    <w:p w:rsidR="00FA6157" w:rsidRDefault="00FA6157">
      <w:pPr>
        <w:pStyle w:val="newncpi"/>
      </w:pPr>
      <w:r>
        <w:t>Стимулировать развитие органического сельского хозяйства предстоит посредством обеспечения государственной поддержки сельскохозяйственных организаций и фермерских хозяйств, занимающихся производством экологически чистой продукции.</w:t>
      </w:r>
    </w:p>
    <w:p w:rsidR="00FA6157" w:rsidRDefault="00FA6157">
      <w:pPr>
        <w:pStyle w:val="newncpi"/>
      </w:pPr>
      <w:r>
        <w:t>Намечены меры по проведению защитных мероприятий в сельскохозяйственном производстве на загрязненных радионуклидами землях, в том числе известкование кислых почв (25 тыс. гектаров в год), приобретение и внесение калийных и фосфорных удобрений, их комплексов в объеме более 92 тыс. тонн в год.</w:t>
      </w:r>
    </w:p>
    <w:p w:rsidR="00FA6157" w:rsidRDefault="00FA6157">
      <w:pPr>
        <w:pStyle w:val="newncpi"/>
      </w:pPr>
      <w:r>
        <w:t>Совершенствование кормовой базы, повышение качества и сохранности кормов, уровня их энергетической и протеиновой питательности создадут условия для устойчивого развития животноводства.</w:t>
      </w:r>
    </w:p>
    <w:p w:rsidR="00FA6157" w:rsidRDefault="00FA6157">
      <w:pPr>
        <w:pStyle w:val="newncpi"/>
      </w:pPr>
      <w:r>
        <w:t>Планируется увеличить глубину переработки зерна по современным методам биотехнологий, в том числе с вводом мощностей Белорусской национальной биотехнологической корпорации, нарастить производство высокопродуктивных, высокотехнологичных и сбалансированных кормов и кормовых добавок.</w:t>
      </w:r>
    </w:p>
    <w:p w:rsidR="00FA6157" w:rsidRDefault="00FA6157">
      <w:pPr>
        <w:pStyle w:val="newncpi"/>
      </w:pPr>
      <w:r>
        <w:t xml:space="preserve">В </w:t>
      </w:r>
      <w:r>
        <w:rPr>
          <w:b/>
          <w:bCs/>
          <w:i/>
          <w:iCs/>
        </w:rPr>
        <w:t xml:space="preserve">животноводстве </w:t>
      </w:r>
      <w:r>
        <w:t>предусматривается:</w:t>
      </w:r>
    </w:p>
    <w:p w:rsidR="00FA6157" w:rsidRDefault="00FA6157">
      <w:pPr>
        <w:pStyle w:val="newncpi"/>
      </w:pPr>
      <w:proofErr w:type="gramStart"/>
      <w:r>
        <w:t>увеличить</w:t>
      </w:r>
      <w:proofErr w:type="gramEnd"/>
      <w:r>
        <w:t xml:space="preserve"> численность поголовья высокопродуктивных племенных животных, повысить потенциал продуктивности сельскохозяйственных животных и обеспечить его максимальную реализацию в производстве, нарастить поставки на экспорт племенного скота;</w:t>
      </w:r>
    </w:p>
    <w:p w:rsidR="00FA6157" w:rsidRDefault="00FA6157">
      <w:pPr>
        <w:pStyle w:val="newncpi"/>
      </w:pPr>
      <w:proofErr w:type="gramStart"/>
      <w:r>
        <w:t>увеличить</w:t>
      </w:r>
      <w:proofErr w:type="gramEnd"/>
      <w:r>
        <w:t xml:space="preserve"> производство молока до 9,2 млн. тонн в 2025 году за счет роста в сельскохозяйственных организациях численности коров молочного стада до 1,45 млн. голов и среднегодового удоя от коровы до 6,2 тыс. килограммов;</w:t>
      </w:r>
    </w:p>
    <w:p w:rsidR="00FA6157" w:rsidRDefault="00FA6157">
      <w:pPr>
        <w:pStyle w:val="newncpi"/>
      </w:pPr>
      <w:proofErr w:type="gramStart"/>
      <w:r>
        <w:t>нарастить</w:t>
      </w:r>
      <w:proofErr w:type="gramEnd"/>
      <w:r>
        <w:t xml:space="preserve"> производство мяса до 2,1 млн. тонн в 2025 году.</w:t>
      </w:r>
    </w:p>
    <w:p w:rsidR="00FA6157" w:rsidRDefault="00FA6157">
      <w:pPr>
        <w:pStyle w:val="newncpi"/>
      </w:pPr>
      <w:r>
        <w:t>Будет продолжена работа по техническому переоснащению животноводческих объектов, в том числе интеллектуальными роботизированными системами, машинами и аппаратами с искусственным интеллектом.</w:t>
      </w:r>
    </w:p>
    <w:p w:rsidR="00FA6157" w:rsidRDefault="00FA6157">
      <w:pPr>
        <w:pStyle w:val="newncpi"/>
      </w:pPr>
      <w:r>
        <w:t>Запланирована реализация проектов:</w:t>
      </w:r>
    </w:p>
    <w:p w:rsidR="00FA6157" w:rsidRDefault="00FA6157">
      <w:pPr>
        <w:pStyle w:val="newncpi"/>
      </w:pPr>
      <w:proofErr w:type="gramStart"/>
      <w:r>
        <w:t>строительство</w:t>
      </w:r>
      <w:proofErr w:type="gramEnd"/>
      <w:r>
        <w:t xml:space="preserve"> цеха убоя крупного рогатого скота в ОАО «Столбцовский мясоконсервный комбинат»;</w:t>
      </w:r>
    </w:p>
    <w:p w:rsidR="00FA6157" w:rsidRDefault="00FA6157">
      <w:pPr>
        <w:pStyle w:val="newncpi"/>
      </w:pPr>
      <w:proofErr w:type="gramStart"/>
      <w:r>
        <w:t>создание</w:t>
      </w:r>
      <w:proofErr w:type="gramEnd"/>
      <w:r>
        <w:t xml:space="preserve"> репродуктора на 5 тыс. голов свиноматок на КУП «Витебский бекон» Лиозненского района;</w:t>
      </w:r>
    </w:p>
    <w:p w:rsidR="00FA6157" w:rsidRDefault="00FA6157">
      <w:pPr>
        <w:pStyle w:val="newncpi"/>
      </w:pPr>
      <w:proofErr w:type="gramStart"/>
      <w:r>
        <w:t>освоение</w:t>
      </w:r>
      <w:proofErr w:type="gramEnd"/>
      <w:r>
        <w:t xml:space="preserve"> в ОАО «Витебскмясомолпром» первой очереди свиноводческого репродуктора на 5 тыс. голов основных свиноматок с комбикормовым цехом, зернохранилищем и откормочным отделением вблизи дер. Горяны Оршанского района;</w:t>
      </w:r>
    </w:p>
    <w:p w:rsidR="00FA6157" w:rsidRDefault="00FA6157">
      <w:pPr>
        <w:pStyle w:val="newncpi"/>
      </w:pPr>
      <w:proofErr w:type="gramStart"/>
      <w:r>
        <w:t>ввод</w:t>
      </w:r>
      <w:proofErr w:type="gramEnd"/>
      <w:r>
        <w:t xml:space="preserve"> в эксплуатацию цеха в ОАО «Агрокомбинат «Дзержинский» по выращиванию 6 тыс. тонн мяса индейки в год, а также отделения птичников для откорма бройлеров;</w:t>
      </w:r>
    </w:p>
    <w:p w:rsidR="00FA6157" w:rsidRDefault="00FA6157">
      <w:pPr>
        <w:pStyle w:val="newncpi"/>
      </w:pPr>
      <w:proofErr w:type="gramStart"/>
      <w:r>
        <w:lastRenderedPageBreak/>
        <w:t>строительство</w:t>
      </w:r>
      <w:proofErr w:type="gramEnd"/>
      <w:r>
        <w:t xml:space="preserve"> молочнотоварной фермы на 2 тыс. голов дойного стада в Оршанском районе;</w:t>
      </w:r>
    </w:p>
    <w:p w:rsidR="00FA6157" w:rsidRDefault="00FA6157">
      <w:pPr>
        <w:pStyle w:val="newncpi"/>
      </w:pPr>
      <w:proofErr w:type="gramStart"/>
      <w:r>
        <w:t>ввод</w:t>
      </w:r>
      <w:proofErr w:type="gramEnd"/>
      <w:r>
        <w:t xml:space="preserve"> в действие племенного свиноводческого комплекса на 9,5 тыс. постановочных ското-мест в ОАО «Утевское» (Добрушский район).</w:t>
      </w:r>
    </w:p>
    <w:p w:rsidR="00FA6157" w:rsidRDefault="00FA6157">
      <w:pPr>
        <w:pStyle w:val="newncpi"/>
      </w:pPr>
      <w:r>
        <w:t>Инновационное развитие</w:t>
      </w:r>
      <w:r>
        <w:rPr>
          <w:b/>
          <w:bCs/>
        </w:rPr>
        <w:t xml:space="preserve"> </w:t>
      </w:r>
      <w:r>
        <w:t>сельскохозяйственного производства предполагает развитие ДНК- и биотехнологий, внедрение тепличных технологий. Планируется создать научно-образовательный центр биотехнологий в растениеводстве в УО «Белорусская государственная сельскохозяйственная академия» (г. Горки).</w:t>
      </w:r>
    </w:p>
    <w:p w:rsidR="00FA6157" w:rsidRDefault="00FA6157">
      <w:pPr>
        <w:pStyle w:val="newncpi"/>
      </w:pPr>
      <w:r>
        <w:t>Будет усилена работа по повышению уровня кадровой обеспеченности, включая вопросы подготовки кадров сельскохозяйственного профиля и их закрепления на селе.</w:t>
      </w:r>
    </w:p>
    <w:p w:rsidR="00FA6157" w:rsidRDefault="00FA6157">
      <w:pPr>
        <w:pStyle w:val="newncpi"/>
      </w:pPr>
      <w:r>
        <w:t>Реализация намеченных мер позволит обеспечить прирост продукции сельского хозяйства за пятилетие на 14 процентов, уровень рентабельности продаж сельскохозяйственных организаций составит не менее 10 процентов в 2025 году. Объем экспорта продовольственных товаров и сельскохозяйственного сырья возрастет до 7 млрд. долларов США к концу 2025 года.</w:t>
      </w:r>
    </w:p>
    <w:p w:rsidR="00FA6157" w:rsidRDefault="00FA6157">
      <w:pPr>
        <w:pStyle w:val="newncpi"/>
      </w:pPr>
      <w:r>
        <w:t>Инструментом выполнения поставленных задач станет</w:t>
      </w:r>
      <w:r>
        <w:rPr>
          <w:b/>
          <w:bCs/>
        </w:rPr>
        <w:t xml:space="preserve"> </w:t>
      </w:r>
      <w:r>
        <w:t>реализация государственных программ на 2021–2025 годы «Аграрный бизнес», по преодолению последствий катастрофы на Чернобыльской АЭС, инновационного развития Республики Беларусь.</w:t>
      </w:r>
    </w:p>
    <w:p w:rsidR="00FA6157" w:rsidRDefault="00FA6157">
      <w:pPr>
        <w:pStyle w:val="newncpi"/>
      </w:pPr>
      <w:r>
        <w:t> </w:t>
      </w:r>
    </w:p>
    <w:p w:rsidR="00FA6157" w:rsidRDefault="00FA6157">
      <w:pPr>
        <w:pStyle w:val="underpoint"/>
      </w:pPr>
      <w:r>
        <w:rPr>
          <w:b/>
          <w:bCs/>
        </w:rPr>
        <w:t xml:space="preserve">6.4. Лесное хозяйство </w:t>
      </w:r>
    </w:p>
    <w:p w:rsidR="00FA6157" w:rsidRDefault="00FA6157">
      <w:pPr>
        <w:pStyle w:val="newncpi"/>
      </w:pPr>
      <w:r>
        <w:t> </w:t>
      </w:r>
    </w:p>
    <w:p w:rsidR="00FA6157" w:rsidRDefault="00FA6157">
      <w:pPr>
        <w:pStyle w:val="newncpi"/>
      </w:pPr>
      <w:r>
        <w:t>Эффективность ведения лесного хозяйства с одновременным ростом доходности от использования лесных ресурсов будет обеспечена путем качественного воспроизводства лесов с учетом почвенно-климатических условий, сохранения рекреационного и экологического потенциала природоохранных, рекреационно-оздоровительных и защитных лесов.</w:t>
      </w:r>
    </w:p>
    <w:p w:rsidR="00FA6157" w:rsidRDefault="00FA6157">
      <w:pPr>
        <w:pStyle w:val="newncpi"/>
      </w:pPr>
      <w:r>
        <w:t>Одна из задач – повысить ресурсный потенциал лесов для удовлетворения потребностей национальной экономики и общества. Все экономически доступные древесные ресурсы будут вовлекаться в хозяйственный оборот в пределах ежегодно утверждаемой расчетной лесосеки.</w:t>
      </w:r>
    </w:p>
    <w:p w:rsidR="00FA6157" w:rsidRDefault="00FA6157">
      <w:pPr>
        <w:pStyle w:val="newncpi"/>
      </w:pPr>
      <w:r>
        <w:t>Предстоит внедрить автоматизированную информационную систему учета древесины и сделок с ней, что позволит контролировать все этапы заготовки древесины в лесном фонде и ее перемещения.</w:t>
      </w:r>
    </w:p>
    <w:p w:rsidR="00FA6157" w:rsidRDefault="00FA6157">
      <w:pPr>
        <w:pStyle w:val="newncpi"/>
      </w:pPr>
      <w:r>
        <w:t>Будут усовершенствованы технологии лесовыращивания, внедрены современные агротехнологии выращивания посадочного материала, созданы лесосеменные плантации.</w:t>
      </w:r>
    </w:p>
    <w:p w:rsidR="00FA6157" w:rsidRDefault="00FA6157">
      <w:pPr>
        <w:pStyle w:val="newncpi"/>
      </w:pPr>
      <w:r>
        <w:t>Продолжится работа по уходу за лесом, реконструкции малоценных молодняков и средневозрастных мягколиственных насаждений. Используется дифференцированный подход к определению возраста рубки в эксплуатационных лесах.</w:t>
      </w:r>
    </w:p>
    <w:p w:rsidR="00FA6157" w:rsidRDefault="00FA6157">
      <w:pPr>
        <w:pStyle w:val="newncpi"/>
      </w:pPr>
      <w:r>
        <w:t>Планируется усилить защиту лесов от вредителей и болезней путем своевременного и качественного проведения санитарно-оздоровительных мероприятий за счет внедрения новых технологий обработки и применения современных инсектицидов, произведенных с учетом последних достижений в области биологии, генетики и биохимии.</w:t>
      </w:r>
    </w:p>
    <w:p w:rsidR="00FA6157" w:rsidRDefault="00FA6157">
      <w:pPr>
        <w:pStyle w:val="newncpi"/>
      </w:pPr>
      <w:r>
        <w:t>В результате в 2025 году уровень лесистости территории повысится до 40,3 процента, объемы заготовки древесины с 1 гектара покрытых лесом земель – до 3,2 куб. метра.</w:t>
      </w:r>
    </w:p>
    <w:p w:rsidR="00FA6157" w:rsidRDefault="00FA6157">
      <w:pPr>
        <w:pStyle w:val="newncpi"/>
      </w:pPr>
      <w:r>
        <w:t>Инструментом выполнения намеченных задач станет реализация Государственной программы «Белорусский лес» на 2021–2025 годы.</w:t>
      </w:r>
    </w:p>
    <w:p w:rsidR="00FA6157" w:rsidRDefault="00FA6157">
      <w:pPr>
        <w:pStyle w:val="newncpi"/>
      </w:pPr>
      <w:r>
        <w:t> </w:t>
      </w:r>
    </w:p>
    <w:p w:rsidR="00FA6157" w:rsidRDefault="00FA6157">
      <w:pPr>
        <w:pStyle w:val="underpoint"/>
      </w:pPr>
      <w:r>
        <w:rPr>
          <w:b/>
          <w:bCs/>
        </w:rPr>
        <w:t>6.5. Ускоренное развитие сферы услуг</w:t>
      </w:r>
    </w:p>
    <w:p w:rsidR="00FA6157" w:rsidRDefault="00FA6157">
      <w:pPr>
        <w:pStyle w:val="newncpi"/>
      </w:pPr>
      <w:r>
        <w:t> </w:t>
      </w:r>
    </w:p>
    <w:p w:rsidR="00FA6157" w:rsidRDefault="00FA6157">
      <w:pPr>
        <w:pStyle w:val="newncpi"/>
      </w:pPr>
      <w:r>
        <w:rPr>
          <w:b/>
          <w:bCs/>
        </w:rPr>
        <w:t>Транспортный комплекс</w:t>
      </w:r>
    </w:p>
    <w:p w:rsidR="00FA6157" w:rsidRDefault="00FA6157">
      <w:pPr>
        <w:pStyle w:val="newncpi"/>
      </w:pPr>
      <w:r>
        <w:t> </w:t>
      </w:r>
    </w:p>
    <w:p w:rsidR="00FA6157" w:rsidRDefault="00FA6157">
      <w:pPr>
        <w:pStyle w:val="newncpi"/>
      </w:pPr>
      <w:r>
        <w:lastRenderedPageBreak/>
        <w:t>Предстоит сформировать эффективный транспортный комплекс на основе развитой транспортной инфраструктуры, повысить ее безопасность и доступность.</w:t>
      </w:r>
    </w:p>
    <w:p w:rsidR="00FA6157" w:rsidRDefault="00FA6157">
      <w:pPr>
        <w:pStyle w:val="newncpi"/>
      </w:pPr>
      <w:r>
        <w:t>В целях увеличения транзитного потенциала предусматривается развивать международные транспортные коридоры, сеть логистических центров посредством расширения их функциональности и комплексности.</w:t>
      </w:r>
    </w:p>
    <w:p w:rsidR="00FA6157" w:rsidRDefault="00FA6157">
      <w:pPr>
        <w:pStyle w:val="newncpi"/>
      </w:pPr>
      <w:r>
        <w:t>Планируется завершить работы по возведению современной транспортно-логистической инфраструктуры для привлечения международных грузопотоков в индустриальный парк «Великий камень» и особую экономическую зону «Бремино-Орша».</w:t>
      </w:r>
    </w:p>
    <w:p w:rsidR="00FA6157" w:rsidRDefault="00FA6157">
      <w:pPr>
        <w:pStyle w:val="newncpi"/>
      </w:pPr>
      <w:r>
        <w:t xml:space="preserve">В сфере </w:t>
      </w:r>
      <w:r>
        <w:rPr>
          <w:b/>
          <w:bCs/>
          <w:i/>
          <w:iCs/>
        </w:rPr>
        <w:t xml:space="preserve">железнодорожного транспорта </w:t>
      </w:r>
      <w:r>
        <w:t>предусматривается осуществить централизацию управления железнодорожными перевозками.</w:t>
      </w:r>
    </w:p>
    <w:p w:rsidR="00FA6157" w:rsidRDefault="00FA6157">
      <w:pPr>
        <w:pStyle w:val="newncpi"/>
      </w:pPr>
      <w:r>
        <w:t>Особое внимание будет уделено созданию благоприятных условий для наращивания железнодорожных контейнерных перевозок в сообщении Восток – Запад – Восток до 1 млн. контейнеров в 20-футовом эквиваленте к концу 2025 года.</w:t>
      </w:r>
    </w:p>
    <w:p w:rsidR="00FA6157" w:rsidRDefault="00FA6157">
      <w:pPr>
        <w:pStyle w:val="newncpi"/>
      </w:pPr>
      <w:r>
        <w:t>Продолжатся электрификация и модернизация железнодорожной инфраструктуры. В 2021 году намечено завершить реализацию проекта «Электрификация участков Гомель – Жлобин – Осиповичи и Жлобин – Калинковичи. Третья очередь. Участок Жлобин – Калинковичи». Общая протяженность электрифицированных железнодорожных путей составит 1369 километров, или 25 процентов от всей протяженности железнодорожных путей Белорусской железной дороги.</w:t>
      </w:r>
    </w:p>
    <w:p w:rsidR="00FA6157" w:rsidRDefault="00FA6157">
      <w:pPr>
        <w:pStyle w:val="newncpi"/>
      </w:pPr>
      <w:r>
        <w:t>Продолжится работа по развитию скоростного пассажирского железнодорожного транспорта. Будет подготовлен проект по организации скоростного пассажирского железнодорожного сообщения между г. Минском и Национальным аэропортом Минск (Минск – Городище – индустриальный парк «Великий камень» – Национальный аэропорт Минск).</w:t>
      </w:r>
    </w:p>
    <w:p w:rsidR="00FA6157" w:rsidRDefault="00FA6157">
      <w:pPr>
        <w:pStyle w:val="newncpi"/>
      </w:pPr>
      <w:r>
        <w:t xml:space="preserve">В сфере </w:t>
      </w:r>
      <w:r>
        <w:rPr>
          <w:b/>
          <w:bCs/>
          <w:i/>
          <w:iCs/>
        </w:rPr>
        <w:t>воздушного</w:t>
      </w:r>
      <w:r>
        <w:rPr>
          <w:i/>
          <w:iCs/>
        </w:rPr>
        <w:t xml:space="preserve"> </w:t>
      </w:r>
      <w:r>
        <w:rPr>
          <w:b/>
          <w:bCs/>
          <w:i/>
          <w:iCs/>
        </w:rPr>
        <w:t xml:space="preserve">транспорта </w:t>
      </w:r>
      <w:r>
        <w:t>будет расширена география полетов, в том числе за счет создания условий для открытия рейсов по трансконтинентальным направлениям.</w:t>
      </w:r>
    </w:p>
    <w:p w:rsidR="00FA6157" w:rsidRDefault="00FA6157">
      <w:pPr>
        <w:pStyle w:val="newncpi"/>
      </w:pPr>
      <w:r>
        <w:t>Запланировано реализовать первый этап проекта по реконструкции первой взлетно-посадочной полосы с возведением новых элементов аэродрома в Национальном аэропорту Минск.</w:t>
      </w:r>
    </w:p>
    <w:p w:rsidR="00FA6157" w:rsidRDefault="00FA6157">
      <w:pPr>
        <w:pStyle w:val="newncpi"/>
      </w:pPr>
      <w:r>
        <w:t>Получат развитие регулярные и чартерные авиационные сообщения из областных аэропортов отечественными и иностранными авиационными перевозчиками, в том числе низкобюджетными авиакомпаниями.</w:t>
      </w:r>
    </w:p>
    <w:p w:rsidR="00FA6157" w:rsidRDefault="00FA6157">
      <w:pPr>
        <w:pStyle w:val="newncpi"/>
      </w:pPr>
      <w:r>
        <w:t xml:space="preserve">В сфере </w:t>
      </w:r>
      <w:r>
        <w:rPr>
          <w:b/>
          <w:bCs/>
          <w:i/>
          <w:iCs/>
        </w:rPr>
        <w:t>автомобильного транспорта</w:t>
      </w:r>
      <w:r>
        <w:t xml:space="preserve"> предстоит провести работу по отмене с отдельными странами разрешительной системы в сфере международных автомобильных перевозок.</w:t>
      </w:r>
    </w:p>
    <w:p w:rsidR="00FA6157" w:rsidRDefault="00FA6157">
      <w:pPr>
        <w:pStyle w:val="newncpi"/>
      </w:pPr>
      <w:r>
        <w:t>Предусматривается возвести и реконструировать не менее 500 километров республиканских дорог, выполнить работы по ремонту не менее 7000 километров местных дорог, что позволит повысить скорость и безопасность перемещения грузов и пассажиров.</w:t>
      </w:r>
    </w:p>
    <w:p w:rsidR="00FA6157" w:rsidRDefault="00FA6157">
      <w:pPr>
        <w:pStyle w:val="newncpi"/>
      </w:pPr>
      <w:r>
        <w:t>Планируется увеличить плотность автомобильных дорог общего пользования с твердым покрытием до 364,5 километра в расчете на 1000 кв. километров территории республики.</w:t>
      </w:r>
    </w:p>
    <w:p w:rsidR="00FA6157" w:rsidRDefault="00FA6157">
      <w:pPr>
        <w:pStyle w:val="newncpi"/>
      </w:pPr>
      <w:r>
        <w:t>Для улучшения эксплуатационных характеристик мостовых сооружений на республиканских дорогах намечено реконструировать и возвести 20 титульных объектов с вводом 24 мостов и путепроводов, из них 16 первоочередных мостовых сооружений.</w:t>
      </w:r>
    </w:p>
    <w:p w:rsidR="00FA6157" w:rsidRDefault="00FA6157">
      <w:pPr>
        <w:pStyle w:val="newncpi"/>
      </w:pPr>
      <w:r>
        <w:t>Будет начата реконструкция главной транспортной артерии республики – автомобильной дороги М-1/Е30 Брест (Козловичи) – Минск – граница Российской Федерации (Редьки).</w:t>
      </w:r>
    </w:p>
    <w:p w:rsidR="00FA6157" w:rsidRDefault="00FA6157">
      <w:pPr>
        <w:pStyle w:val="newncpi"/>
      </w:pPr>
      <w:r>
        <w:t xml:space="preserve">Наиболее значимые проекты – М-3 Минск – Витебск; М-7/Е28 Минск – Ошмяны – граница Литовской Республики (Каменный Лог); М-10 граница Российской Федерации – Гомель – Кобрин; Р-46 Лепель – Полоцк – граница Российской Федерации (Юховичи); М-8/Е95 граница Российской Федерации (Езерище) – Витебск – Гомель – граница Украины </w:t>
      </w:r>
      <w:r>
        <w:lastRenderedPageBreak/>
        <w:t>(Новая Гута), участок дороги от Витебска до Орши; Р-53 Слобода – Новосады; строительство обходов г. Витебска, г.п. Мир, г. Могилева и г. Полоцка.</w:t>
      </w:r>
    </w:p>
    <w:p w:rsidR="00FA6157" w:rsidRDefault="00FA6157">
      <w:pPr>
        <w:pStyle w:val="newncpi"/>
      </w:pPr>
      <w:r>
        <w:t>Планируется повысить уровень эксплуатационных характеристик дорожного полотна и его безопасность путем совершенствования системы автоматизированной диагностики инфраструктуры, повышения производительности используемой техники при обслуживании и ремонте объектов дорожной инфраструктуры.</w:t>
      </w:r>
    </w:p>
    <w:p w:rsidR="00FA6157" w:rsidRDefault="00FA6157">
      <w:pPr>
        <w:pStyle w:val="newncpi"/>
      </w:pPr>
      <w:r>
        <w:t>Проведение комплексных работ по обустройству автодорожных пунктов пропуска позволит увеличить пропускную способность на Государственной границе Республики Беларусь в 2025 году до 37,5 тыс. транспортных средств в сутки. Намечено реконструировать автодорожные пункты пропуска «Урбаны», «Верхний Теребежов», «Каменный Лог», «Веселовка», «Александровка», «Томашовка».</w:t>
      </w:r>
    </w:p>
    <w:p w:rsidR="00FA6157" w:rsidRDefault="00FA6157">
      <w:pPr>
        <w:pStyle w:val="newncpi"/>
      </w:pPr>
      <w:r>
        <w:t>Будет продолжена работа по совершенствованию таможенного регулирования, в том числе через расширение практики применения бестранзитной технологии доставки товаров.</w:t>
      </w:r>
    </w:p>
    <w:p w:rsidR="00FA6157" w:rsidRDefault="00FA6157">
      <w:pPr>
        <w:pStyle w:val="newncpi"/>
      </w:pPr>
      <w:r>
        <w:t>Предусматривается создать инфраструктуру для расширения применения электрического пассажирского транспорта. Доля электрифицированных транспортных средств, выполняющих городские перевозки пассажиров в регулярном сообщении, в общем количестве подвижного состава, осуществляющего перевозки пассажиров городским электрическим транспортом, метрополитеном и автомобильным транспортом общего пользования, увеличится до 30 процентов к концу 2025 года.</w:t>
      </w:r>
    </w:p>
    <w:p w:rsidR="00FA6157" w:rsidRDefault="00FA6157">
      <w:pPr>
        <w:pStyle w:val="newncpi"/>
      </w:pPr>
      <w:r>
        <w:t>В сфере</w:t>
      </w:r>
      <w:r>
        <w:rPr>
          <w:b/>
          <w:bCs/>
        </w:rPr>
        <w:t xml:space="preserve"> </w:t>
      </w:r>
      <w:r>
        <w:rPr>
          <w:b/>
          <w:bCs/>
          <w:i/>
          <w:iCs/>
        </w:rPr>
        <w:t>водного транспорта</w:t>
      </w:r>
      <w:r>
        <w:rPr>
          <w:b/>
          <w:bCs/>
        </w:rPr>
        <w:t xml:space="preserve"> </w:t>
      </w:r>
      <w:r>
        <w:t>намечено:</w:t>
      </w:r>
    </w:p>
    <w:p w:rsidR="00FA6157" w:rsidRDefault="00FA6157">
      <w:pPr>
        <w:pStyle w:val="newncpi"/>
      </w:pPr>
      <w:proofErr w:type="gramStart"/>
      <w:r>
        <w:t>создать</w:t>
      </w:r>
      <w:proofErr w:type="gramEnd"/>
      <w:r>
        <w:t xml:space="preserve"> условия равного доступа для всех субъектов хозяйствования к инфраструктуре внутреннего водного транспорта;</w:t>
      </w:r>
    </w:p>
    <w:p w:rsidR="00FA6157" w:rsidRDefault="00FA6157">
      <w:pPr>
        <w:pStyle w:val="newncpi"/>
      </w:pPr>
      <w:proofErr w:type="gramStart"/>
      <w:r>
        <w:t>реализовать</w:t>
      </w:r>
      <w:proofErr w:type="gramEnd"/>
      <w:r>
        <w:t xml:space="preserve"> право Республики Беларусь на предоставление флага судам, участвующим в торговом мореплавании.</w:t>
      </w:r>
    </w:p>
    <w:p w:rsidR="00FA6157" w:rsidRDefault="00FA6157">
      <w:pPr>
        <w:pStyle w:val="newncpi"/>
      </w:pPr>
      <w:r>
        <w:t>Продолжится работа по реконструкции сооружений Днепро-Бугского канала, в частности гидроузлов «Переруб», «Овзичи» и «Качановичи». Запланирована дальнейшая реализация инвестиционного проекта по строительству речного порта на р. Днепр в Гомельской области.</w:t>
      </w:r>
    </w:p>
    <w:p w:rsidR="00FA6157" w:rsidRDefault="00FA6157">
      <w:pPr>
        <w:pStyle w:val="newncpi"/>
      </w:pPr>
      <w:r>
        <w:t>Предстоит обновить и расширить парк всех видов транспортных средств, оснастив его конкурентоспособной, современной, комфортабельной, безопасной и экологичной техникой.</w:t>
      </w:r>
    </w:p>
    <w:p w:rsidR="00FA6157" w:rsidRDefault="00FA6157">
      <w:pPr>
        <w:pStyle w:val="newncpi"/>
      </w:pPr>
      <w:r>
        <w:t>Реализация намеченных мер позволит обеспечить рост грузооборота до 141,6 млрд. тонно-километров, пассажирооборота – до 23,8 млрд. пассажиро-километров в 2025 году. Экспорт транспортных услуг увеличится в 1,25–1,3 раза за пятилетие.</w:t>
      </w:r>
    </w:p>
    <w:p w:rsidR="00FA6157" w:rsidRDefault="00FA6157">
      <w:pPr>
        <w:pStyle w:val="newncpi"/>
      </w:pPr>
      <w:r>
        <w:t>Инструментом выполнения данных задач станет реализация государственных программ</w:t>
      </w:r>
      <w:r>
        <w:rPr>
          <w:b/>
          <w:bCs/>
        </w:rPr>
        <w:t xml:space="preserve"> </w:t>
      </w:r>
      <w:r>
        <w:t>на 2021–2025 годы «Транспортный комплекс», «Дороги Беларуси», «Инфраструктура пунктов пропуска на Государственной границе Республики Беларусь».</w:t>
      </w:r>
    </w:p>
    <w:p w:rsidR="00FA6157" w:rsidRDefault="00FA6157">
      <w:pPr>
        <w:pStyle w:val="newncpi"/>
      </w:pPr>
      <w:r>
        <w:t> </w:t>
      </w:r>
    </w:p>
    <w:p w:rsidR="00FA6157" w:rsidRDefault="00FA6157">
      <w:pPr>
        <w:pStyle w:val="newncpi"/>
      </w:pPr>
      <w:r>
        <w:rPr>
          <w:b/>
          <w:bCs/>
        </w:rPr>
        <w:t xml:space="preserve">Потребительский рынок </w:t>
      </w:r>
    </w:p>
    <w:p w:rsidR="00FA6157" w:rsidRDefault="00FA6157">
      <w:pPr>
        <w:pStyle w:val="newncpi"/>
      </w:pPr>
      <w:r>
        <w:t> </w:t>
      </w:r>
    </w:p>
    <w:p w:rsidR="00FA6157" w:rsidRDefault="00FA6157">
      <w:pPr>
        <w:pStyle w:val="newncpi"/>
      </w:pPr>
      <w:r>
        <w:t>Развитие потребительского рынка будет ориентировано на удовлетворение потребности населения в качественных товарах и по доступным ценам, создание комфортной потребительской среды.</w:t>
      </w:r>
    </w:p>
    <w:p w:rsidR="00FA6157" w:rsidRDefault="00FA6157">
      <w:pPr>
        <w:pStyle w:val="newncpi"/>
      </w:pPr>
      <w:r>
        <w:t>Поставлена задача увеличить долю отечественных товаров в общем объеме розничного товарооборота до 63 процентов, из них продовольственных товаров – до 85 процентов в 2025 году. Для этого планируется расширять торговую инфраструктуру путем размещения в жилых кварталах городов магазинов шаговой доступности и сетей крупноформатных объектов при соблюдении оптимального их соотношения. Предстоит реализовать проекты по строительству торговых и бизнес-центров в городах Шклове и Бресте, мультиформатных торгово-развлекательных комплексов в областных центрах.</w:t>
      </w:r>
    </w:p>
    <w:p w:rsidR="00FA6157" w:rsidRDefault="00FA6157">
      <w:pPr>
        <w:pStyle w:val="newncpi"/>
      </w:pPr>
      <w:r>
        <w:lastRenderedPageBreak/>
        <w:t>Намечено увеличить число магазинов по реализации фермерской продукции и с экоконцепцией. Повысятся объемы развозной торговли на селе, осуществляемой крупными сетевыми операторами и потребительской кооперацией. Обеспеченность населения торговыми площадями к концу 2025 года возрастет до 720 кв. метров на 1 тыс. человек.</w:t>
      </w:r>
    </w:p>
    <w:p w:rsidR="00FA6157" w:rsidRDefault="00FA6157">
      <w:pPr>
        <w:pStyle w:val="newncpi"/>
      </w:pPr>
      <w:r>
        <w:t>Будут сформированы национальные электронные торговые площадки, сеть онлайн-магазинов. В 2021–2025 годах количество интернет-магазинов увеличится на 5 тыс. единиц, получат широкое использование цифровые сервисы (бесконтактные и мобильные платежи, автоматизированные расчеты за покупки при помощи электронных устройств, услуги по предзаказу товаров и самовывозу из магазина и другие).</w:t>
      </w:r>
    </w:p>
    <w:p w:rsidR="00FA6157" w:rsidRDefault="00FA6157">
      <w:pPr>
        <w:pStyle w:val="newncpi"/>
      </w:pPr>
      <w:r>
        <w:t xml:space="preserve">Развитие </w:t>
      </w:r>
      <w:r>
        <w:rPr>
          <w:i/>
          <w:iCs/>
        </w:rPr>
        <w:t>общественного питания</w:t>
      </w:r>
      <w:r>
        <w:t xml:space="preserve"> будет направлено на повышение территориальной доступности услуг. Будет расширена работа по доставке продукции собственного производства по заказам потребителей с использованием глобальной компьютерной сети Интернет, кейтеринговых услуг (выездного обслуживания). Территориальную доступность услуг планируется повысить путем развития сети быстрого обслуживания при минимальной себестоимости услуг и переформатирования мобильных объектов с учетом спроса населения.</w:t>
      </w:r>
    </w:p>
    <w:p w:rsidR="00FA6157" w:rsidRDefault="00FA6157">
      <w:pPr>
        <w:pStyle w:val="newncpi"/>
      </w:pPr>
      <w:r>
        <w:t>Намечено создать не менее 640 новых объектов общественного питания, в том числе с белорусской национальной кухней.</w:t>
      </w:r>
    </w:p>
    <w:p w:rsidR="00FA6157" w:rsidRDefault="00FA6157">
      <w:pPr>
        <w:pStyle w:val="newncpi"/>
      </w:pPr>
      <w:r>
        <w:t>В результате обеспеченность населения местами в общедоступных объектах общественного питания составит 44 места в расчете на 1 тыс. человек.</w:t>
      </w:r>
    </w:p>
    <w:p w:rsidR="00FA6157" w:rsidRDefault="00FA6157">
      <w:pPr>
        <w:pStyle w:val="newncpi"/>
      </w:pPr>
      <w:r>
        <w:t> </w:t>
      </w:r>
    </w:p>
    <w:p w:rsidR="00FA6157" w:rsidRDefault="00FA6157">
      <w:pPr>
        <w:pStyle w:val="newncpi"/>
      </w:pPr>
      <w:r>
        <w:rPr>
          <w:b/>
          <w:bCs/>
        </w:rPr>
        <w:t>Туристическая индустрия</w:t>
      </w:r>
    </w:p>
    <w:p w:rsidR="00FA6157" w:rsidRDefault="00FA6157">
      <w:pPr>
        <w:pStyle w:val="newncpi"/>
      </w:pPr>
      <w:r>
        <w:t> </w:t>
      </w:r>
    </w:p>
    <w:p w:rsidR="00FA6157" w:rsidRDefault="00FA6157">
      <w:pPr>
        <w:pStyle w:val="newncpi"/>
      </w:pPr>
      <w:r>
        <w:t>Целевыми задачами развития туристической индустрии являются восстановление туристической отрасли, понесшей наибольшие потери вследствие коронавирусной пандемии, и придание этой сфере нового импульса развития.</w:t>
      </w:r>
      <w:r>
        <w:rPr>
          <w:b/>
          <w:bCs/>
        </w:rPr>
        <w:t xml:space="preserve"> </w:t>
      </w:r>
      <w:r>
        <w:t>Предстоит</w:t>
      </w:r>
      <w:r>
        <w:rPr>
          <w:b/>
          <w:bCs/>
        </w:rPr>
        <w:t xml:space="preserve"> </w:t>
      </w:r>
      <w:r>
        <w:t>сосредоточиться на формировании культуры отдыха в Беларуси, популяризации отдыха и оздоровления, а также путешествий внутри страны.</w:t>
      </w:r>
    </w:p>
    <w:p w:rsidR="00FA6157" w:rsidRDefault="00FA6157">
      <w:pPr>
        <w:pStyle w:val="newncpi"/>
      </w:pPr>
      <w:r>
        <w:t xml:space="preserve">В целях развития </w:t>
      </w:r>
      <w:r>
        <w:rPr>
          <w:b/>
          <w:bCs/>
          <w:i/>
          <w:iCs/>
        </w:rPr>
        <w:t>внутреннего туризма</w:t>
      </w:r>
      <w:r>
        <w:t xml:space="preserve"> продолжится укрепление материально-технической базы санаторно-курортных и оздоровительных организаций, что позволит увеличить численность потребителей услуг, в том числе для реабилитации граждан после перенесенных заболеваний, вызванных коронавирусной инфекцией.</w:t>
      </w:r>
    </w:p>
    <w:p w:rsidR="00FA6157" w:rsidRDefault="00FA6157">
      <w:pPr>
        <w:pStyle w:val="newncpi"/>
      </w:pPr>
      <w:r>
        <w:t>Планируется создать новые региональные и локальные маршруты туристических путешествий с учетом природного ландшафта и культурно-исторических особенностей регионов Беларуси. Будут внедряться туры с ориентацией на различные возрастные и социальные группы, индивидуальные потребности и запросы туристов. Новыми точками роста станут развитие делового туризма, разработка инновационных туров и экскурсий исходя из требований «зеленой» экономики, формирование экологических туристических троп с учетом природного ландшафта и культурно-исторических особенностей регионов Беларуси.</w:t>
      </w:r>
    </w:p>
    <w:p w:rsidR="00FA6157" w:rsidRDefault="00FA6157">
      <w:pPr>
        <w:pStyle w:val="newncpi"/>
      </w:pPr>
      <w:r>
        <w:t>Предполагается обновление маршрутов туристических путешествий (ежегодно не менее 15), в том числе охватывающих тематику военно-патриотического, историко-культурного, религиозно-ностальгического наследия.</w:t>
      </w:r>
    </w:p>
    <w:p w:rsidR="00FA6157" w:rsidRDefault="00FA6157">
      <w:pPr>
        <w:pStyle w:val="newncpi"/>
      </w:pPr>
      <w:r>
        <w:t>Для восстановления и дальнейшего развития туристического бизнеса предусмотрены меры государственной поддержки: от введения механизмов финансового обеспечения ответственности туроператоров до разработки компенсационных мер по снижению их издержек.</w:t>
      </w:r>
    </w:p>
    <w:p w:rsidR="00FA6157" w:rsidRDefault="00FA6157">
      <w:pPr>
        <w:pStyle w:val="newncpi"/>
      </w:pPr>
      <w:r>
        <w:t>На территории каждой области и г. Минска планируется реализовать пилотные проекты в сфере внутреннего туризма с применением новых подходов к развитию территорий, форм межведомственного взаимодействия, а также сотрудничества с частным бизнесом, маркетинговых методов позиционирования регионов.</w:t>
      </w:r>
    </w:p>
    <w:p w:rsidR="00FA6157" w:rsidRDefault="00FA6157">
      <w:pPr>
        <w:pStyle w:val="newncpi"/>
      </w:pPr>
      <w:r>
        <w:lastRenderedPageBreak/>
        <w:t>Реализация намеченных мер позволит увеличить численность организованных туристов и экскурсантов – граждан Беларуси, отправленных по маршрутам тура в пределах Республики Беларусь, в 1,5 раза за пятилетие.</w:t>
      </w:r>
    </w:p>
    <w:p w:rsidR="00FA6157" w:rsidRDefault="00FA6157">
      <w:pPr>
        <w:pStyle w:val="newncpi"/>
      </w:pPr>
      <w:r>
        <w:t>Развитие</w:t>
      </w:r>
      <w:r>
        <w:rPr>
          <w:b/>
          <w:bCs/>
          <w:i/>
          <w:iCs/>
        </w:rPr>
        <w:t xml:space="preserve"> въездного туризма</w:t>
      </w:r>
      <w:r>
        <w:t xml:space="preserve"> (при перспективе открытия границ) будет направлено на позиционирование национальных туристических брендов, освоение новых целевых рынков, повышение имиджа Беларуси как страны, безопасной для путешествий.</w:t>
      </w:r>
    </w:p>
    <w:p w:rsidR="00FA6157" w:rsidRDefault="00FA6157">
      <w:pPr>
        <w:pStyle w:val="newncpi"/>
      </w:pPr>
      <w:r>
        <w:t>Предстоит активизировать проведение рекламно-информационной кампании на территории Республики Беларусь и за рубежом для возобновления прежних и привлечения новых туристических потоков и диверсификации экспорта туристических услуг (Китай, ОАЭ, страны – члены Организации экономического сотрудничества и развития и другие).</w:t>
      </w:r>
    </w:p>
    <w:p w:rsidR="00FA6157" w:rsidRDefault="00FA6157">
      <w:pPr>
        <w:pStyle w:val="newncpi"/>
      </w:pPr>
      <w:r>
        <w:t>Будет продолжена работа по созданию, обновлению и продвижению централизованных ресурсов о туристических возможностях страны (belarustourism.by и belarus.travel), многофункционального сервиса онлайн-бронирования туристических услуг «VETLIVA» в глобальной компьютерной сети Интернет.</w:t>
      </w:r>
    </w:p>
    <w:p w:rsidR="00FA6157" w:rsidRDefault="00FA6157">
      <w:pPr>
        <w:pStyle w:val="newncpi"/>
      </w:pPr>
      <w:r>
        <w:t>Для формирования</w:t>
      </w:r>
      <w:r>
        <w:rPr>
          <w:b/>
          <w:bCs/>
          <w:i/>
          <w:iCs/>
        </w:rPr>
        <w:t xml:space="preserve"> современной инфраструктуры индустрии</w:t>
      </w:r>
      <w:r>
        <w:t xml:space="preserve"> </w:t>
      </w:r>
      <w:r>
        <w:rPr>
          <w:b/>
          <w:bCs/>
          <w:i/>
          <w:iCs/>
        </w:rPr>
        <w:t xml:space="preserve">гостеприимства </w:t>
      </w:r>
      <w:r>
        <w:t>намечены строительство и модернизация объектов туристической сферы:</w:t>
      </w:r>
    </w:p>
    <w:p w:rsidR="00FA6157" w:rsidRDefault="00FA6157">
      <w:pPr>
        <w:pStyle w:val="newncpi"/>
      </w:pPr>
      <w:proofErr w:type="gramStart"/>
      <w:r>
        <w:t>коллективных</w:t>
      </w:r>
      <w:proofErr w:type="gramEnd"/>
      <w:r>
        <w:t xml:space="preserve"> средств размещения – не менее пяти объектов, включая гостиницу медицинского центра «НОВАМЕД» в г. Бресте, гостиницы в городах Полоцке и Волковыске, гостиничный комплекс в г. Новогрудке, базу отдыха «Медовый рай» в Буда-Кошелевском районе;</w:t>
      </w:r>
    </w:p>
    <w:p w:rsidR="00FA6157" w:rsidRDefault="00FA6157">
      <w:pPr>
        <w:pStyle w:val="newncpi"/>
      </w:pPr>
      <w:proofErr w:type="gramStart"/>
      <w:r>
        <w:t>туристических</w:t>
      </w:r>
      <w:proofErr w:type="gramEnd"/>
      <w:r>
        <w:t xml:space="preserve"> комплексов – не менее пяти («ЭкоБел «Колбовичи» в Барановичском районе, комплекс домиков для туристов в г. Коссово Ивацевичского района, спортивно-туристический комплекс «Озерки» в Поставском районе и другие);</w:t>
      </w:r>
    </w:p>
    <w:p w:rsidR="00FA6157" w:rsidRDefault="00FA6157">
      <w:pPr>
        <w:pStyle w:val="newncpi"/>
      </w:pPr>
      <w:proofErr w:type="gramStart"/>
      <w:r>
        <w:t>санаторно</w:t>
      </w:r>
      <w:proofErr w:type="gramEnd"/>
      <w:r>
        <w:t>-курортных и оздоровительных организаций – не менее двух (корпуса санатория «Машиностроитель» в Гомельском районе, санатория «Радон» в Дятловском районе);</w:t>
      </w:r>
    </w:p>
    <w:p w:rsidR="00FA6157" w:rsidRDefault="00FA6157">
      <w:pPr>
        <w:pStyle w:val="newncpi"/>
      </w:pPr>
      <w:proofErr w:type="gramStart"/>
      <w:r>
        <w:t>объектов</w:t>
      </w:r>
      <w:proofErr w:type="gramEnd"/>
      <w:r>
        <w:t xml:space="preserve"> придорожного сервиса – не менее трех (в Дубровенском, Оршанском районах, г. Бобруйске).</w:t>
      </w:r>
    </w:p>
    <w:p w:rsidR="00FA6157" w:rsidRDefault="00FA6157">
      <w:pPr>
        <w:pStyle w:val="newncpi"/>
      </w:pPr>
      <w:r>
        <w:t>Намечено сформировать сеть туристических информационных центров (не менее одного в каждой области). Будут созданы специальные туристско-рекреационные парки с преференциальным режимом ведения бизнеса для их резидентов.</w:t>
      </w:r>
    </w:p>
    <w:p w:rsidR="00FA6157" w:rsidRDefault="00FA6157">
      <w:pPr>
        <w:pStyle w:val="newncpi"/>
      </w:pPr>
      <w:r>
        <w:t>Появятся цифровые платформы продвижения туристических продуктов и национальных брендов, цифровые средства туристической навигации, включая мобильные приложения с указанием достопримечательностей и возможностью самостоятельно построить маршрут.</w:t>
      </w:r>
    </w:p>
    <w:p w:rsidR="00FA6157" w:rsidRDefault="00FA6157">
      <w:pPr>
        <w:pStyle w:val="newncpi"/>
      </w:pPr>
      <w:r>
        <w:t>Планируется адаптировать бизнес-процессы в сфере управления туризмом под цифровые потребности туристов, расширить использование мультиязычных электронных сервисов для них, интегрировать их с мировыми электронными сервисами и широко используемыми технологиями (шеринг-технологиями, QR-кодами, социальными сетями).</w:t>
      </w:r>
    </w:p>
    <w:p w:rsidR="00FA6157" w:rsidRDefault="00FA6157">
      <w:pPr>
        <w:pStyle w:val="newncpi"/>
      </w:pPr>
      <w:r>
        <w:t>Намечены меры по совершенствованию законодательства в сфере туризма и снятию административных барьеров. Будет продолжена работа по либерализации визового режима и беспрепятственного перемещения иностранных граждан через все участки границы.</w:t>
      </w:r>
    </w:p>
    <w:p w:rsidR="00FA6157" w:rsidRDefault="00FA6157">
      <w:pPr>
        <w:pStyle w:val="newncpi"/>
      </w:pPr>
      <w:r>
        <w:t>Инструментом выполнения поставленных задач станет</w:t>
      </w:r>
      <w:r>
        <w:rPr>
          <w:b/>
          <w:bCs/>
        </w:rPr>
        <w:t xml:space="preserve"> </w:t>
      </w:r>
      <w:r>
        <w:t>реализация Государственной программы «Беларусь гостеприимная» на 2021–2025 годы.</w:t>
      </w:r>
    </w:p>
    <w:p w:rsidR="00FA6157" w:rsidRDefault="00FA6157">
      <w:pPr>
        <w:pStyle w:val="chapter"/>
      </w:pPr>
      <w:r>
        <w:t xml:space="preserve">ГЛАВА 7 </w:t>
      </w:r>
      <w:r>
        <w:br/>
        <w:t>ЦИФРОВАЯ ТРАНСФОРМАЦИЯ</w:t>
      </w:r>
    </w:p>
    <w:p w:rsidR="00FA6157" w:rsidRDefault="00FA6157">
      <w:pPr>
        <w:pStyle w:val="newncpi"/>
      </w:pPr>
      <w:r>
        <w:t xml:space="preserve">В новом пятилетии взят курс на внедрение информационно-коммуникационных и передовых производственных технологий во все сферы жизнедеятельности. Целевым </w:t>
      </w:r>
      <w:r>
        <w:lastRenderedPageBreak/>
        <w:t>ориентиром является доля сектора информационно-коммуникационных технологий в ВВП страны – не менее 7,5 процента в 2025 году.</w:t>
      </w:r>
    </w:p>
    <w:p w:rsidR="00FA6157" w:rsidRDefault="00FA6157">
      <w:pPr>
        <w:pStyle w:val="newncpi"/>
      </w:pPr>
      <w:r>
        <w:t xml:space="preserve">Цифровая трансформация экономики предполагает </w:t>
      </w:r>
      <w:r>
        <w:rPr>
          <w:b/>
          <w:bCs/>
          <w:i/>
          <w:iCs/>
        </w:rPr>
        <w:t xml:space="preserve">организацию цифровой информационной среды </w:t>
      </w:r>
      <w:r>
        <w:t>путем формирования нормативной правовой базы и внедрения действенных инструментов управления процессами цифровизации экономики.</w:t>
      </w:r>
    </w:p>
    <w:p w:rsidR="00FA6157" w:rsidRDefault="00FA6157">
      <w:pPr>
        <w:pStyle w:val="newncpi"/>
      </w:pPr>
      <w:r>
        <w:t>Планируется реализовать пилотные проекты в сфере цифрового развития в рамках государственных программ и отраслевых планов.</w:t>
      </w:r>
    </w:p>
    <w:p w:rsidR="00FA6157" w:rsidRDefault="00FA6157">
      <w:pPr>
        <w:pStyle w:val="newncpi"/>
      </w:pPr>
      <w:r>
        <w:t>Будет продолжена работа по внедрению</w:t>
      </w:r>
      <w:r>
        <w:rPr>
          <w:b/>
          <w:bCs/>
          <w:i/>
          <w:iCs/>
        </w:rPr>
        <w:t xml:space="preserve"> </w:t>
      </w:r>
      <w:r>
        <w:t>технологий электронного правительства и элементов цифрового участия, что будет способствовать повышению качества государственного управления, в том числе на местном уровне.</w:t>
      </w:r>
    </w:p>
    <w:p w:rsidR="00FA6157" w:rsidRDefault="00FA6157">
      <w:pPr>
        <w:pStyle w:val="newncpi"/>
      </w:pPr>
      <w:r>
        <w:t>Намечено увеличить количество государственных сервисов, предоставляемых модернизированной общегосударственной автоматизированной информационной системой, а также сервисов с применением идентификационных карт граждан с учетом развития компонентов Белорусской интегрированной сервисно-расчетной системы.</w:t>
      </w:r>
    </w:p>
    <w:p w:rsidR="00FA6157" w:rsidRDefault="00FA6157">
      <w:pPr>
        <w:pStyle w:val="newncpi"/>
      </w:pPr>
      <w:r>
        <w:t>Предстоит</w:t>
      </w:r>
      <w:r>
        <w:rPr>
          <w:b/>
          <w:bCs/>
          <w:i/>
          <w:iCs/>
        </w:rPr>
        <w:t xml:space="preserve"> создать отраслевые и региональные цифровые платформы</w:t>
      </w:r>
      <w:r>
        <w:t>:</w:t>
      </w:r>
      <w:r>
        <w:rPr>
          <w:b/>
          <w:bCs/>
        </w:rPr>
        <w:t xml:space="preserve"> </w:t>
      </w:r>
    </w:p>
    <w:p w:rsidR="00FA6157" w:rsidRDefault="00FA6157">
      <w:pPr>
        <w:pStyle w:val="newncpi"/>
      </w:pPr>
      <w:proofErr w:type="gramStart"/>
      <w:r>
        <w:rPr>
          <w:i/>
          <w:iCs/>
        </w:rPr>
        <w:t>в</w:t>
      </w:r>
      <w:proofErr w:type="gramEnd"/>
      <w:r>
        <w:rPr>
          <w:i/>
          <w:iCs/>
        </w:rPr>
        <w:t xml:space="preserve"> образовании</w:t>
      </w:r>
      <w:r>
        <w:t> – освоить новые интерактивные образовательные информационные ресурсы с применением технологий удаленного доступа к ним, внедрить сервисы, фиксирующие учебную активность обучающегося, накапливающие данные для учета его потребностей и создания персонализированных «образовательных траекторий», обеспечить широкое применение интерактивных элементов «телеобучения», увеличить количество учреждений образования, использующих технологии дистанционного обучения, до 200 единиц;</w:t>
      </w:r>
    </w:p>
    <w:p w:rsidR="00FA6157" w:rsidRDefault="00FA6157">
      <w:pPr>
        <w:pStyle w:val="newncpi"/>
      </w:pPr>
      <w:proofErr w:type="gramStart"/>
      <w:r>
        <w:rPr>
          <w:i/>
          <w:iCs/>
        </w:rPr>
        <w:t>в</w:t>
      </w:r>
      <w:proofErr w:type="gramEnd"/>
      <w:r>
        <w:rPr>
          <w:i/>
          <w:iCs/>
        </w:rPr>
        <w:t xml:space="preserve"> здравоохранении</w:t>
      </w:r>
      <w:r>
        <w:t> – внедрить электронную медицинскую карту пациента и сервисы проактивного взаимодействия с гражданами, усовершенствовать телемедицину, системы мониторинга состояния здоровья населения, эпидемиологического благополучия, поддержки принятия клинических решений и предиктивной аналитики, обеспечить использование электронных медицинских карт пациента не менее чем в 450 учреждениях здравоохранения;</w:t>
      </w:r>
    </w:p>
    <w:p w:rsidR="00FA6157" w:rsidRDefault="00FA6157">
      <w:pPr>
        <w:pStyle w:val="newncpi"/>
      </w:pPr>
      <w:proofErr w:type="gramStart"/>
      <w:r>
        <w:rPr>
          <w:i/>
          <w:iCs/>
        </w:rPr>
        <w:t>в</w:t>
      </w:r>
      <w:proofErr w:type="gramEnd"/>
      <w:r>
        <w:rPr>
          <w:i/>
          <w:iCs/>
        </w:rPr>
        <w:t xml:space="preserve"> сфере транспорта</w:t>
      </w:r>
      <w:r>
        <w:rPr>
          <w:b/>
          <w:bCs/>
          <w:i/>
          <w:iCs/>
        </w:rPr>
        <w:t xml:space="preserve"> </w:t>
      </w:r>
      <w:r>
        <w:t>– интегрировать элементы дорожно-транспортной системы в единую интеллектуальную транспортную систему с центром управления движением. Перейти на цифровые технологии документооборота и расширить использование цифровых форм сопроводительных документов при международных перевозках грузов различными видами транспорта. Развивать информационно-управляющие системы автоматизации перевозочного процесса, грузовой и коммерческой работы железнодорожного транспорта;</w:t>
      </w:r>
    </w:p>
    <w:p w:rsidR="00FA6157" w:rsidRDefault="00FA6157">
      <w:pPr>
        <w:pStyle w:val="newncpi"/>
      </w:pPr>
      <w:proofErr w:type="gramStart"/>
      <w:r>
        <w:rPr>
          <w:i/>
          <w:iCs/>
        </w:rPr>
        <w:t>в</w:t>
      </w:r>
      <w:proofErr w:type="gramEnd"/>
      <w:r>
        <w:rPr>
          <w:i/>
          <w:iCs/>
        </w:rPr>
        <w:t xml:space="preserve"> сельском хозяйстве</w:t>
      </w:r>
      <w:r>
        <w:t> – развить систему точного земледелия, в том числе беспилотные технологии обработки полей, внедрить цифровой анализ снимков (включая спутниковые) сельскохозяйственных угодий. Совершенствовать применяемые системы прослеживаемости сельскохозяйственной продукции «от поля до прилавка». Создать информационно-справочный портал агропромышленного комплекса;</w:t>
      </w:r>
    </w:p>
    <w:p w:rsidR="00FA6157" w:rsidRDefault="00FA6157">
      <w:pPr>
        <w:pStyle w:val="newncpi"/>
      </w:pPr>
      <w:proofErr w:type="gramStart"/>
      <w:r>
        <w:rPr>
          <w:i/>
          <w:iCs/>
        </w:rPr>
        <w:t>в</w:t>
      </w:r>
      <w:proofErr w:type="gramEnd"/>
      <w:r>
        <w:rPr>
          <w:i/>
          <w:iCs/>
        </w:rPr>
        <w:t xml:space="preserve"> жилищно-коммунальном хозяйстве</w:t>
      </w:r>
      <w:r>
        <w:t> – внедрить унифицированную информационную систему учета потребления ресурсов (воды, газа, электричества) и интеллектуального контроля зданий, развить сервисы умного дома, сервисы краудфандинга и краудинвестинга в цифровых платформах умных регионов, предоставляющих жителям возможность выбора вариантов благоустройства их придомовых участков;</w:t>
      </w:r>
    </w:p>
    <w:p w:rsidR="00FA6157" w:rsidRDefault="00FA6157">
      <w:pPr>
        <w:pStyle w:val="newncpi"/>
      </w:pPr>
      <w:proofErr w:type="gramStart"/>
      <w:r>
        <w:rPr>
          <w:i/>
          <w:iCs/>
        </w:rPr>
        <w:t>в</w:t>
      </w:r>
      <w:proofErr w:type="gramEnd"/>
      <w:r>
        <w:rPr>
          <w:i/>
          <w:iCs/>
        </w:rPr>
        <w:t xml:space="preserve"> торговле</w:t>
      </w:r>
      <w:r>
        <w:t> – создать общенациональную торговую площадку для отечественных предприятий, интеграционную платформу национальной системы электронной логистики, включая механизмы продвижения товаров на рынки третьих стран, расширить сеть онлайн-магазинов и интернет-торговли путем использования цифровых сервисов;</w:t>
      </w:r>
    </w:p>
    <w:p w:rsidR="00FA6157" w:rsidRDefault="00FA6157">
      <w:pPr>
        <w:pStyle w:val="newncpi"/>
      </w:pPr>
      <w:proofErr w:type="gramStart"/>
      <w:r>
        <w:rPr>
          <w:i/>
          <w:iCs/>
        </w:rPr>
        <w:t>в</w:t>
      </w:r>
      <w:proofErr w:type="gramEnd"/>
      <w:r>
        <w:rPr>
          <w:i/>
          <w:iCs/>
        </w:rPr>
        <w:t xml:space="preserve"> строительстве </w:t>
      </w:r>
      <w:r>
        <w:t xml:space="preserve">– сформировать на базе Госстройпортала единый фонд проектной документации и республиканский банк данных объектов-аналогов в электронном формате </w:t>
      </w:r>
      <w:r>
        <w:lastRenderedPageBreak/>
        <w:t>BIM-среды (информационного моделирования зданий и сооружений); активно применять технологии виртуальной и дополненной реальности на этапах строительства;</w:t>
      </w:r>
    </w:p>
    <w:p w:rsidR="00FA6157" w:rsidRDefault="00FA6157">
      <w:pPr>
        <w:pStyle w:val="newncpi"/>
      </w:pPr>
      <w:proofErr w:type="gramStart"/>
      <w:r>
        <w:rPr>
          <w:i/>
          <w:iCs/>
        </w:rPr>
        <w:t>в</w:t>
      </w:r>
      <w:proofErr w:type="gramEnd"/>
      <w:r>
        <w:rPr>
          <w:i/>
          <w:iCs/>
        </w:rPr>
        <w:t xml:space="preserve"> промышленности</w:t>
      </w:r>
      <w:r>
        <w:t> – внедрять информационно-коммуникационные технологии и передовые производственные технологии, базирующиеся на принципах концепции «Индустрия 4.0», развить смарт-индустрию;</w:t>
      </w:r>
    </w:p>
    <w:p w:rsidR="00FA6157" w:rsidRDefault="00FA6157">
      <w:pPr>
        <w:pStyle w:val="newncpi"/>
      </w:pPr>
      <w:proofErr w:type="gramStart"/>
      <w:r>
        <w:rPr>
          <w:i/>
          <w:iCs/>
        </w:rPr>
        <w:t>в</w:t>
      </w:r>
      <w:proofErr w:type="gramEnd"/>
      <w:r>
        <w:rPr>
          <w:i/>
          <w:iCs/>
        </w:rPr>
        <w:t xml:space="preserve"> финансовом секторе</w:t>
      </w:r>
      <w:r>
        <w:t> – расширить спектр банковских продуктов, предоставляемых онлайн, в том числе с использованием биометрических данных клиентов, и доступ физических и юридических лиц к заемным средствам через сервисы онлайн-заимствования;</w:t>
      </w:r>
    </w:p>
    <w:p w:rsidR="00FA6157" w:rsidRDefault="00FA6157">
      <w:pPr>
        <w:pStyle w:val="newncpi"/>
      </w:pPr>
      <w:proofErr w:type="gramStart"/>
      <w:r>
        <w:rPr>
          <w:i/>
          <w:iCs/>
        </w:rPr>
        <w:t>в</w:t>
      </w:r>
      <w:proofErr w:type="gramEnd"/>
      <w:r>
        <w:rPr>
          <w:i/>
          <w:iCs/>
        </w:rPr>
        <w:t xml:space="preserve"> государственном управлении </w:t>
      </w:r>
      <w:r>
        <w:t>– создать электронные сервисы с соблюдением принципов проактивности и (или) комплексности, подразумевающих оказание электронных услуг не только по заявительному принципу, но и в большинстве случаев по факту наступления жизненной ситуации (прием лиц для получения дошкольного образования, общего среднего образования, оформление пенсии и другое). Количество электронных услуг и сервисов, предоставляемых в проактивном формате, – не менее 10 в 2025 году.</w:t>
      </w:r>
    </w:p>
    <w:p w:rsidR="00FA6157" w:rsidRDefault="00FA6157">
      <w:pPr>
        <w:pStyle w:val="newncpi"/>
      </w:pPr>
      <w:r>
        <w:t>Предполагается внедрить технологии умных городов во всех регионах страны, в первую очередь в областных центрах и городах с численностью населения свыше 80 тыс. человек.</w:t>
      </w:r>
    </w:p>
    <w:p w:rsidR="00FA6157" w:rsidRDefault="00FA6157">
      <w:pPr>
        <w:pStyle w:val="newncpi"/>
      </w:pPr>
      <w:r>
        <w:t>Планируется создать не менее двух типовых региональных государственных цифровых платформ на основе одного цифрового решения, обеспечить в 2025 году их внедрение в 17 городах республики. Общее количество созданных типовых государственных цифровых платформ – семь единиц в 2025 году.</w:t>
      </w:r>
    </w:p>
    <w:p w:rsidR="00FA6157" w:rsidRDefault="00FA6157">
      <w:pPr>
        <w:pStyle w:val="newncpi"/>
      </w:pPr>
      <w:r>
        <w:t>Предстоит развить технологии управления пространственными данными путем разработки национального геопортала, обеспечить на базе указанных технических решений оказание услуг (сервисов) в различных сферах жизнедеятельности населения.</w:t>
      </w:r>
    </w:p>
    <w:p w:rsidR="00FA6157" w:rsidRDefault="00FA6157">
      <w:pPr>
        <w:pStyle w:val="newncpi"/>
      </w:pPr>
      <w:r>
        <w:rPr>
          <w:b/>
          <w:bCs/>
          <w:i/>
          <w:iCs/>
        </w:rPr>
        <w:t xml:space="preserve">Формирование развитой информационно-коммуникационной инфраструктуры (физической, гибридной и цифровой (виртуальной) </w:t>
      </w:r>
      <w:r>
        <w:t>предполагается путем расширения сети стационарного широкополосного доступа с использованием волоконно-оптических линий связи. Планируется завершить строительство сети сотовой связи четвертого поколения (4G), создать сеть сотовой связи пятого поколения (5G).</w:t>
      </w:r>
    </w:p>
    <w:p w:rsidR="00FA6157" w:rsidRDefault="00FA6157">
      <w:pPr>
        <w:pStyle w:val="newncpi"/>
      </w:pPr>
      <w:r>
        <w:t>Реализация семи инфраструктурных проектов общей стоимостью свыше 2 млрд. рублей позволит обеспечить охват населения услугами сотовой связи 4G не менее 99 процентов и увеличить доступность универсальных услуг электросвязи для населенных пунктов с числом домохозяйств 50 и более до конца 2025 года.</w:t>
      </w:r>
    </w:p>
    <w:p w:rsidR="00FA6157" w:rsidRDefault="00FA6157">
      <w:pPr>
        <w:pStyle w:val="newncpi"/>
      </w:pPr>
      <w:r>
        <w:t>Ядром для развития технологий интернета вещей и смарт-индустрии послужит сотовая связь 5G. Предстоит разработать стратегию развития сети, предусмотрев наличие единого инфраструктурного оператора либо развитие указанных технологий на конкурентной основе.</w:t>
      </w:r>
    </w:p>
    <w:p w:rsidR="00FA6157" w:rsidRDefault="00FA6157">
      <w:pPr>
        <w:pStyle w:val="newncpi"/>
      </w:pPr>
      <w:r>
        <w:t>Для развития национальной почтовой электронной системы намечено реализовать проекты по обеспечению доступа населения к услугам почтовой связи, оказываемым национальным оператором почтовой связи через сервис «Мобильный почтальон» и сеть почтоматов.</w:t>
      </w:r>
    </w:p>
    <w:p w:rsidR="00FA6157" w:rsidRDefault="00FA6157">
      <w:pPr>
        <w:pStyle w:val="newncpi"/>
      </w:pPr>
      <w:r>
        <w:t>Гибридную инфраструктуру предусматривается развивать путем совершенствования центров обработки данных и применения на их базе облачных технологий, что обеспечит высокий уровень безопасности и конфиденциальности хранения данных, широкие возможности вычислительных ресурсов.</w:t>
      </w:r>
    </w:p>
    <w:p w:rsidR="00FA6157" w:rsidRDefault="00FA6157">
      <w:pPr>
        <w:pStyle w:val="newncpi"/>
      </w:pPr>
      <w:r>
        <w:t>Цифровая (виртуальная) инфраструктура будет строиться с применением технологий искусственного интеллекта, анализа больших данных, виртуальной и дополненной реальности, интернета вещей, робототехнических систем различного функционального назначения и ряда других.</w:t>
      </w:r>
    </w:p>
    <w:p w:rsidR="00FA6157" w:rsidRDefault="00FA6157">
      <w:pPr>
        <w:pStyle w:val="newncpi"/>
      </w:pPr>
      <w:r>
        <w:t xml:space="preserve">В целях </w:t>
      </w:r>
      <w:r>
        <w:rPr>
          <w:b/>
          <w:bCs/>
          <w:i/>
          <w:iCs/>
        </w:rPr>
        <w:t xml:space="preserve">подготовки квалифицированных кадров для цифровой экономики, специалистов по внедрению информационных технологий </w:t>
      </w:r>
      <w:r>
        <w:t xml:space="preserve">будут разработаны </w:t>
      </w:r>
      <w:r>
        <w:lastRenderedPageBreak/>
        <w:t>(актуализированы) профессиональные и образовательные стандарты в части новых компетенций в области цифрового развития.</w:t>
      </w:r>
    </w:p>
    <w:p w:rsidR="00FA6157" w:rsidRDefault="00FA6157">
      <w:pPr>
        <w:pStyle w:val="newncpi"/>
      </w:pPr>
      <w:r>
        <w:t>Для повышения цифровой грамотности населения и обучения населения цифровым навыкам предстоит создать образовательную платформу, разработать программы обучения с использованием информационных технологий. Планируется организовать не менее 20 курсов повышения цифровой грамотности населения.</w:t>
      </w:r>
    </w:p>
    <w:p w:rsidR="00FA6157" w:rsidRDefault="00FA6157">
      <w:pPr>
        <w:pStyle w:val="newncpi"/>
      </w:pPr>
      <w:r>
        <w:t>В 2025 году доля специалистов, ответственных за вопросы информатизации в государственных органах и организациях, прошедших обучение в сфере цифрового развития, составит не менее 40 процентов.</w:t>
      </w:r>
    </w:p>
    <w:p w:rsidR="00FA6157" w:rsidRDefault="00FA6157">
      <w:pPr>
        <w:pStyle w:val="newncpi"/>
      </w:pPr>
      <w:r>
        <w:t>Инструментом выполнения поставленных задач станет реализация Государственной программы «Цифровое развитие Беларуси» на 2021–2025 годы, иных государственных программ и программ социально-экономического развития административно-территориальных единиц, региональных комплексов мероприятий в части мероприятий в сфере информатизации.</w:t>
      </w:r>
    </w:p>
    <w:p w:rsidR="00FA6157" w:rsidRDefault="00FA6157">
      <w:pPr>
        <w:pStyle w:val="chapter"/>
      </w:pPr>
      <w:r>
        <w:t xml:space="preserve">ГЛАВА 8 </w:t>
      </w:r>
      <w:r>
        <w:br/>
        <w:t>ПРОАКТИВНАЯ ВНЕШНЕЭКОНОМИЧЕСКАЯ ПОЛИТИКА</w:t>
      </w:r>
    </w:p>
    <w:p w:rsidR="00FA6157" w:rsidRDefault="00FA6157">
      <w:pPr>
        <w:pStyle w:val="newncpi"/>
      </w:pPr>
      <w:r>
        <w:t>Внешнеэкономическая деятельность государства будет направлена на качественный рост экспорта и его географическую диверсификацию, повышение вклада интеграционных процессов в экономический рост.</w:t>
      </w:r>
    </w:p>
    <w:p w:rsidR="00FA6157" w:rsidRDefault="00FA6157">
      <w:pPr>
        <w:pStyle w:val="newncpi"/>
      </w:pPr>
      <w:r>
        <w:t xml:space="preserve">В части </w:t>
      </w:r>
      <w:r>
        <w:rPr>
          <w:b/>
          <w:bCs/>
        </w:rPr>
        <w:t>диверсификации внешних рынков</w:t>
      </w:r>
      <w:r>
        <w:t xml:space="preserve"> предстоит решить две задачи:</w:t>
      </w:r>
    </w:p>
    <w:p w:rsidR="00FA6157" w:rsidRDefault="00FA6157">
      <w:pPr>
        <w:pStyle w:val="newncpi"/>
      </w:pPr>
      <w:proofErr w:type="gramStart"/>
      <w:r>
        <w:t>не</w:t>
      </w:r>
      <w:proofErr w:type="gramEnd"/>
      <w:r>
        <w:t xml:space="preserve"> допустить сокращения присутствия национальной экспортной продукции на традиционных рынках сбыта;</w:t>
      </w:r>
    </w:p>
    <w:p w:rsidR="00FA6157" w:rsidRDefault="00FA6157">
      <w:pPr>
        <w:pStyle w:val="newncpi"/>
      </w:pPr>
      <w:proofErr w:type="gramStart"/>
      <w:r>
        <w:t>сохранить</w:t>
      </w:r>
      <w:proofErr w:type="gramEnd"/>
      <w:r>
        <w:t xml:space="preserve"> многовекторность внешней торговли, наращивая объемы экспорта в КНР, ЕС, США и страны «дальней дуги», осваивая новые ниши мирового рынка.</w:t>
      </w:r>
    </w:p>
    <w:p w:rsidR="00FA6157" w:rsidRDefault="00FA6157">
      <w:pPr>
        <w:pStyle w:val="newncpi"/>
      </w:pPr>
      <w:r>
        <w:t>Приоритетное внимание будет уделено росту взаимной торговли и инвестиций с государствами – партнерами по Союзному государству, ЕАЭС и СНГ. Планируется увеличить долю продаж товаров на рынок КНР до 5 процентов в общем объеме экспорта товаров в 2025 году (не менее 2 млрд. долларов США), в страны ЕС – до 30 процентов с приоритетным ростом несырьевого экспорта.</w:t>
      </w:r>
    </w:p>
    <w:p w:rsidR="00FA6157" w:rsidRDefault="00FA6157">
      <w:pPr>
        <w:pStyle w:val="newncpi"/>
      </w:pPr>
      <w:r>
        <w:t>Намечены меры по укреплению стратегического партнерства с КНР, расширению сотрудничества с Турцией, Сингапуром и другими странами «дальней дуги». Для этого предстоит:</w:t>
      </w:r>
    </w:p>
    <w:p w:rsidR="00FA6157" w:rsidRDefault="00FA6157">
      <w:pPr>
        <w:pStyle w:val="newncpi"/>
      </w:pPr>
      <w:proofErr w:type="gramStart"/>
      <w:r>
        <w:t>заключить</w:t>
      </w:r>
      <w:proofErr w:type="gramEnd"/>
      <w:r>
        <w:t xml:space="preserve"> двусторонние соглашения о свободной торговле услугами и осуществлении инвестиций с КНР, Турцией и Сингапуром;</w:t>
      </w:r>
    </w:p>
    <w:p w:rsidR="00FA6157" w:rsidRDefault="00FA6157">
      <w:pPr>
        <w:pStyle w:val="newncpi"/>
      </w:pPr>
      <w:proofErr w:type="gramStart"/>
      <w:r>
        <w:t>заключить</w:t>
      </w:r>
      <w:proofErr w:type="gramEnd"/>
      <w:r>
        <w:t xml:space="preserve"> с учетом экономических интересов Беларуси соглашения о свободной торговле с Израилем, Египтом и Индией.</w:t>
      </w:r>
    </w:p>
    <w:p w:rsidR="00FA6157" w:rsidRDefault="00FA6157">
      <w:pPr>
        <w:pStyle w:val="newncpi"/>
      </w:pPr>
      <w:r>
        <w:t>При условии запуска зон свободной торговли целевой экспорт товаров в Израиль к концу 2025 года составит не менее 150 млн. долларов США, в Египет – 200 млн. долларов США, в Индию – 600 млн. долларов США.</w:t>
      </w:r>
    </w:p>
    <w:p w:rsidR="00FA6157" w:rsidRDefault="00FA6157">
      <w:pPr>
        <w:pStyle w:val="newncpi"/>
      </w:pPr>
      <w:r>
        <w:t>Предстоит активизировать поиск новых стратегических торговых партнеров посредством проведения переговоров со странами и региональными объединениями «второй волны» (Индонезией, Монголией, Алжиром), а также арабскими государствами Персидского залива (Бахрейном, Кувейтом, Оманом, Катаром, Саудовской Аравией, ОАЭ).</w:t>
      </w:r>
    </w:p>
    <w:p w:rsidR="00FA6157" w:rsidRDefault="00FA6157">
      <w:pPr>
        <w:pStyle w:val="newncpi"/>
      </w:pPr>
      <w:r>
        <w:t>Целевой ориентир – ежегодное увеличение на 4 процентных пункта в экспорте товаров (без учета нефти, нефтепродуктов, калийных и азотных удобрений) совокупной доли стран ЕС и «дальней дуги».</w:t>
      </w:r>
    </w:p>
    <w:p w:rsidR="00FA6157" w:rsidRDefault="00FA6157">
      <w:pPr>
        <w:pStyle w:val="newncpi"/>
      </w:pPr>
      <w:r>
        <w:t xml:space="preserve">Главный вектор </w:t>
      </w:r>
      <w:r>
        <w:rPr>
          <w:b/>
          <w:bCs/>
        </w:rPr>
        <w:t>диверсификации товарной структуры</w:t>
      </w:r>
      <w:r>
        <w:t xml:space="preserve"> экспорта – рост высокотехнологичных товаров с обеспечением их доли не менее 5 процентов. В этих целях будет задействован потенциал индустриального парка «Великий камень» в качестве центра по производству новых высокотехнологичных товаров, экспорт резидентов которого в 2025 году превысит 400 млн. долларов США.</w:t>
      </w:r>
    </w:p>
    <w:p w:rsidR="00FA6157" w:rsidRDefault="00FA6157">
      <w:pPr>
        <w:pStyle w:val="newncpi"/>
      </w:pPr>
      <w:r>
        <w:lastRenderedPageBreak/>
        <w:t>Перспективная экспортная корзина будет формироваться на основе конкурентных преимуществ Беларуси в части производства высоколиквидной и качественной продукции и оказания услуг. Планируется расширить экспорт услуг за счет полноценного использования транзитного потенциала, ускоренного развития финансовых и деловых услуг, продвижения бренда Беларуси в сферах туризма, образования, здравоохранения.</w:t>
      </w:r>
    </w:p>
    <w:p w:rsidR="00FA6157" w:rsidRDefault="00FA6157">
      <w:pPr>
        <w:pStyle w:val="newncpi"/>
      </w:pPr>
      <w:r>
        <w:t xml:space="preserve">Для </w:t>
      </w:r>
      <w:r>
        <w:rPr>
          <w:b/>
          <w:bCs/>
        </w:rPr>
        <w:t>содействия продвижению товаров и услуг на внешние рынки</w:t>
      </w:r>
      <w:r>
        <w:t xml:space="preserve"> предусматривается:</w:t>
      </w:r>
    </w:p>
    <w:p w:rsidR="00FA6157" w:rsidRDefault="00FA6157">
      <w:pPr>
        <w:pStyle w:val="newncpi"/>
      </w:pPr>
      <w:proofErr w:type="gramStart"/>
      <w:r>
        <w:t>создать</w:t>
      </w:r>
      <w:proofErr w:type="gramEnd"/>
      <w:r>
        <w:t xml:space="preserve"> специализированное агентство, что позволит обеспечить комплексное экспортно-импортное сопровождение белорусских производителей;</w:t>
      </w:r>
    </w:p>
    <w:p w:rsidR="00FA6157" w:rsidRDefault="00FA6157">
      <w:pPr>
        <w:pStyle w:val="newncpi"/>
      </w:pPr>
      <w:proofErr w:type="gramStart"/>
      <w:r>
        <w:t>повысить</w:t>
      </w:r>
      <w:proofErr w:type="gramEnd"/>
      <w:r>
        <w:t xml:space="preserve"> эффективность финансовых и нефинансовых инструментов, расширить доступ организаций к механизмам поддержки;</w:t>
      </w:r>
    </w:p>
    <w:p w:rsidR="00FA6157" w:rsidRDefault="00FA6157">
      <w:pPr>
        <w:pStyle w:val="newncpi"/>
      </w:pPr>
      <w:proofErr w:type="gramStart"/>
      <w:r>
        <w:t>сформировать</w:t>
      </w:r>
      <w:proofErr w:type="gramEnd"/>
      <w:r>
        <w:t xml:space="preserve"> перечень банков, страховых и финансовых организаций, участие которых предусмотрено в механизмах поддержки экспортеров, и сократить срок принятия решений по оказанию такой поддержки;</w:t>
      </w:r>
    </w:p>
    <w:p w:rsidR="00FA6157" w:rsidRDefault="00FA6157">
      <w:pPr>
        <w:pStyle w:val="newncpi"/>
      </w:pPr>
      <w:proofErr w:type="gramStart"/>
      <w:r>
        <w:t>ввести</w:t>
      </w:r>
      <w:proofErr w:type="gramEnd"/>
      <w:r>
        <w:t xml:space="preserve"> дополнительные меры частичной компенсации расходов экспортеров.</w:t>
      </w:r>
    </w:p>
    <w:p w:rsidR="00FA6157" w:rsidRDefault="00FA6157">
      <w:pPr>
        <w:pStyle w:val="newncpi"/>
      </w:pPr>
      <w:r>
        <w:t>Предстоит расширить перечень нефинансовых механизмов поддержки экспорта. Экспортерам будет оказываться содействие в выходе на международные площадки электронной торговли, разработке дизайна продукции, создании и продвижении новых брендов.</w:t>
      </w:r>
    </w:p>
    <w:p w:rsidR="00FA6157" w:rsidRDefault="00FA6157">
      <w:pPr>
        <w:pStyle w:val="newncpi"/>
      </w:pPr>
      <w:r>
        <w:t>Предусматривается обеспечить регулярное участие белорусских экспортеров в международных специализированных выставках при поддержке БелТПП и загранучреждений Республики Беларусь.</w:t>
      </w:r>
    </w:p>
    <w:p w:rsidR="00FA6157" w:rsidRDefault="00FA6157">
      <w:pPr>
        <w:pStyle w:val="newncpi"/>
      </w:pPr>
      <w:r>
        <w:t>Будет организована системная работа по сертификации белорусской продукции в иностранных государствах на соответствие техническим и экологическим нормам, стандартам в области качества и безопасности, по получению права на поставку сельскохозяйственных и продовольственных товаров на рынки ЕС, КНР и других стран.</w:t>
      </w:r>
    </w:p>
    <w:p w:rsidR="00FA6157" w:rsidRDefault="00FA6157">
      <w:pPr>
        <w:pStyle w:val="newncpi"/>
      </w:pPr>
      <w:r>
        <w:t>Важной мерой станет проведение консультаций по разработке экспортных стратегий, оценке экспортного потенциала предприятий, определению конкурентных преимуществ продукции. Намечено обеспечить правовую поддержку по вопросам создания экспортоориентированных совместных предприятий с иностранными партнерами.</w:t>
      </w:r>
    </w:p>
    <w:p w:rsidR="00FA6157" w:rsidRDefault="00FA6157">
      <w:pPr>
        <w:pStyle w:val="newncpi"/>
      </w:pPr>
      <w:r>
        <w:t>Планируется создать многоязычную цифровую экспортную площадку белорусских товаров с широким охватом участников и иностранных пользователей, оптимизировать товаропроводящую, сервисную и логистическую сети белорусских экспортеров.</w:t>
      </w:r>
    </w:p>
    <w:p w:rsidR="00FA6157" w:rsidRDefault="00FA6157">
      <w:pPr>
        <w:pStyle w:val="newncpi"/>
      </w:pPr>
      <w:r>
        <w:rPr>
          <w:b/>
          <w:bCs/>
        </w:rPr>
        <w:t xml:space="preserve">Развитие экономической интеграции. </w:t>
      </w:r>
    </w:p>
    <w:p w:rsidR="00FA6157" w:rsidRDefault="00FA6157">
      <w:pPr>
        <w:pStyle w:val="newncpi"/>
      </w:pPr>
      <w:r>
        <w:t>Политика государства будет нацелена на развитие взаимовыгодной экономической интеграции в рамках Союзного государства, ЕАЭС и СНГ, укрепление стратегического партнерства с КНР, расширение внешнеэкономических связей с другими государствами.</w:t>
      </w:r>
    </w:p>
    <w:p w:rsidR="00FA6157" w:rsidRDefault="00FA6157">
      <w:pPr>
        <w:pStyle w:val="newncpi"/>
      </w:pPr>
      <w:r>
        <w:t>Главный вектор – углубление двусторонней интеграции с Российской Федерацией в рамках Союзного государства с соблюдением национальных интересов. Основной критерий интеграции – обеспечение равных условий хозяйствования, энергопотребления, доступа к рынкам, участия в государственных закупках, использования финансовых инструментов.</w:t>
      </w:r>
    </w:p>
    <w:p w:rsidR="00FA6157" w:rsidRDefault="00FA6157">
      <w:pPr>
        <w:pStyle w:val="newncpi"/>
      </w:pPr>
      <w:r>
        <w:t>Эффективными инструментами выступят совместные программы действий по конкретным сферам деятельности, углубление производственной кооперации, развитие регионального сотрудничества.</w:t>
      </w:r>
    </w:p>
    <w:p w:rsidR="00FA6157" w:rsidRDefault="00FA6157">
      <w:pPr>
        <w:pStyle w:val="newncpi"/>
      </w:pPr>
      <w:r>
        <w:t xml:space="preserve">В интересах Беларуси создание полноформатного экономического союза в рамках </w:t>
      </w:r>
      <w:r>
        <w:rPr>
          <w:b/>
          <w:bCs/>
        </w:rPr>
        <w:t>ЕАЭС</w:t>
      </w:r>
      <w:r>
        <w:t>,</w:t>
      </w:r>
      <w:r>
        <w:rPr>
          <w:b/>
          <w:bCs/>
        </w:rPr>
        <w:t xml:space="preserve"> </w:t>
      </w:r>
      <w:r>
        <w:t>обеспечивающего свободу передвижения товаров, услуг, капиталов и рабочей силы без барьеров, изъятий и ограничений. Важно достичь значимого синергетического эффекта от формирования общего рынка и объединения экономических потенциалов государств-участников. Предстоит:</w:t>
      </w:r>
    </w:p>
    <w:p w:rsidR="00FA6157" w:rsidRDefault="00FA6157">
      <w:pPr>
        <w:pStyle w:val="newncpi"/>
      </w:pPr>
      <w:proofErr w:type="gramStart"/>
      <w:r>
        <w:t>создать</w:t>
      </w:r>
      <w:proofErr w:type="gramEnd"/>
      <w:r>
        <w:t xml:space="preserve"> единый рынок услуг и общий финансовый рынок, включая общее платежное пространство и использование национальных валют во взаимных расчетах;</w:t>
      </w:r>
    </w:p>
    <w:p w:rsidR="00FA6157" w:rsidRDefault="00FA6157">
      <w:pPr>
        <w:pStyle w:val="newncpi"/>
      </w:pPr>
      <w:proofErr w:type="gramStart"/>
      <w:r>
        <w:lastRenderedPageBreak/>
        <w:t>реализовать</w:t>
      </w:r>
      <w:proofErr w:type="gramEnd"/>
      <w:r>
        <w:t xml:space="preserve"> на практике согласованную макроэкономическую, промышленную, сельскохозяйственную, транспортную политику и скоординированную энергетическую политику;</w:t>
      </w:r>
    </w:p>
    <w:p w:rsidR="00FA6157" w:rsidRDefault="00FA6157">
      <w:pPr>
        <w:pStyle w:val="newncpi"/>
      </w:pPr>
      <w:proofErr w:type="gramStart"/>
      <w:r>
        <w:t>организовать</w:t>
      </w:r>
      <w:proofErr w:type="gramEnd"/>
      <w:r>
        <w:t xml:space="preserve"> совместные производства, в том числе импортозамещающие, развить новые кооперационные связи с обеспечением дополнительных мер поддержки продвижения производимых товаров и услуг на рынки третьих стран;</w:t>
      </w:r>
    </w:p>
    <w:p w:rsidR="00FA6157" w:rsidRDefault="00FA6157">
      <w:pPr>
        <w:pStyle w:val="newncpi"/>
      </w:pPr>
      <w:proofErr w:type="gramStart"/>
      <w:r>
        <w:t>сформировать</w:t>
      </w:r>
      <w:proofErr w:type="gramEnd"/>
      <w:r>
        <w:t xml:space="preserve"> единое цифровое пространство, в том числе для целей обеспечения эффективной взаимной торговли.</w:t>
      </w:r>
    </w:p>
    <w:p w:rsidR="00FA6157" w:rsidRDefault="00FA6157">
      <w:pPr>
        <w:pStyle w:val="newncpi"/>
      </w:pPr>
      <w:r>
        <w:t>Приоритет Беларуси</w:t>
      </w:r>
      <w:r>
        <w:rPr>
          <w:b/>
          <w:bCs/>
        </w:rPr>
        <w:t xml:space="preserve"> в СНГ</w:t>
      </w:r>
      <w:r>
        <w:t xml:space="preserve"> остается неизменным – развивать объединение как механизм максимально выгодного экономического взаимодействия. Одна из главных задач – не допустить ухудшения условий свободной торговли товарами. Предполагается углубление торгово-экономического сотрудничества, в том числе за счет новых направлений (торговля услугами, инвестиции, государственные закупки, промышленная кооперация, цифровизация и другое).</w:t>
      </w:r>
    </w:p>
    <w:p w:rsidR="00FA6157" w:rsidRDefault="00FA6157">
      <w:pPr>
        <w:pStyle w:val="newncpi"/>
      </w:pPr>
      <w:r>
        <w:t>Наша страна выступает за поиск новых региональных форматов, в том числе за продвижение идей «интеграции интеграций» и большого евразийского партнерства.</w:t>
      </w:r>
    </w:p>
    <w:p w:rsidR="00FA6157" w:rsidRDefault="00FA6157">
      <w:pPr>
        <w:pStyle w:val="newncpi"/>
      </w:pPr>
      <w:r>
        <w:t>Данные инициативы будут дополнены сотрудничеством в рамках сопряжения ЕАЭС и китайского проекта «Один пояс, один путь». Предстоит углубить взаимодействие с ключевыми экономическими объединениями и национальными экономиками Евразии.</w:t>
      </w:r>
    </w:p>
    <w:p w:rsidR="00FA6157" w:rsidRDefault="00FA6157">
      <w:pPr>
        <w:pStyle w:val="newncpi"/>
      </w:pPr>
      <w:r>
        <w:t>Беларусь продолжит наращивать всестороннее сотрудничество с</w:t>
      </w:r>
      <w:r>
        <w:rPr>
          <w:b/>
          <w:bCs/>
        </w:rPr>
        <w:t xml:space="preserve"> Китаем</w:t>
      </w:r>
      <w:r>
        <w:t xml:space="preserve"> как стратегическим партнером, углублять взаимодействие через сопряжение стратегий социально-экономического развития, расширять торгово-экономические, финансовые, инвестиционные, научно-технические, гуманитарные и иные связи, укреплять позиции в качестве наиболее значимой узловой платформы нового Шелкового пути в Евразийском регионе.</w:t>
      </w:r>
    </w:p>
    <w:p w:rsidR="00FA6157" w:rsidRDefault="00FA6157">
      <w:pPr>
        <w:pStyle w:val="newncpi"/>
      </w:pPr>
      <w:r>
        <w:t>Результатом проактивной внешнеэкономической политики станут рост экспорта товаров и услуг (более 50 млрд. долларов США в 2025 году), диверсификация его структуры с увеличением уровня ее «сложности», сохранение сбалансированности внешнеторговых потоков, что в конечном итоге увеличит вклад внешнего спроса в рост экономики.</w:t>
      </w:r>
    </w:p>
    <w:p w:rsidR="00FA6157" w:rsidRDefault="00FA6157">
      <w:pPr>
        <w:pStyle w:val="newncpi"/>
      </w:pPr>
      <w:r>
        <w:t>Инструментом выполнения намеченных задач станет</w:t>
      </w:r>
      <w:r>
        <w:rPr>
          <w:b/>
          <w:bCs/>
        </w:rPr>
        <w:t xml:space="preserve"> </w:t>
      </w:r>
      <w:r>
        <w:t>реализация совместных программ действий по конкретным секторам и расширению межрегионального сотрудничества в рамках Союзного государства, Стратегических направлений развития евразийской экономической интеграции до 2025 года, ежегодно утверждаемого Правительством Республики Беларусь комплексного плана системных мер по развитию и поддержке экспорта, а также отраслевых и региональных планов совместных действий с МИДом по выполнению целевых показателей по экспорту товаров и услуг.</w:t>
      </w:r>
    </w:p>
    <w:p w:rsidR="00FA6157" w:rsidRDefault="00FA6157">
      <w:pPr>
        <w:pStyle w:val="chapter"/>
      </w:pPr>
      <w:r>
        <w:t xml:space="preserve">ГЛАВА 9 </w:t>
      </w:r>
      <w:r>
        <w:br/>
        <w:t>РЕГИОНАЛЬНОЕ РАЗВИТИЕ</w:t>
      </w:r>
    </w:p>
    <w:p w:rsidR="00FA6157" w:rsidRDefault="00FA6157">
      <w:pPr>
        <w:pStyle w:val="newncpi"/>
      </w:pPr>
      <w:r>
        <w:t>Региональная политика будет направлена на повышение привлекательности для жизни, работы и бизнеса территорий, расположенных за пределами столицы и областных центров, на популяризацию сельского образа жизни (деурбанизация).</w:t>
      </w:r>
    </w:p>
    <w:p w:rsidR="00FA6157" w:rsidRDefault="00FA6157">
      <w:pPr>
        <w:pStyle w:val="newncpi"/>
      </w:pPr>
      <w:r>
        <w:t>Целевые индикаторы социально-экономического развития по областям и г. Минску на 2021–2025 годы представлены в приложении 2.</w:t>
      </w:r>
    </w:p>
    <w:p w:rsidR="00FA6157" w:rsidRDefault="00FA6157">
      <w:pPr>
        <w:pStyle w:val="newncpi"/>
      </w:pPr>
      <w:r>
        <w:t> </w:t>
      </w:r>
    </w:p>
    <w:p w:rsidR="00FA6157" w:rsidRDefault="00FA6157">
      <w:pPr>
        <w:pStyle w:val="underpoint"/>
      </w:pPr>
      <w:r>
        <w:rPr>
          <w:b/>
          <w:bCs/>
        </w:rPr>
        <w:t>9.1. Развитие регионов на основе создания новых производств и рабочих мест</w:t>
      </w:r>
    </w:p>
    <w:p w:rsidR="00FA6157" w:rsidRDefault="00FA6157">
      <w:pPr>
        <w:pStyle w:val="newncpi"/>
      </w:pPr>
      <w:r>
        <w:t> </w:t>
      </w:r>
    </w:p>
    <w:p w:rsidR="00FA6157" w:rsidRDefault="00FA6157">
      <w:pPr>
        <w:pStyle w:val="newncpi"/>
      </w:pPr>
      <w:r>
        <w:t>Предстоит максимально задействовать все возможные инструменты и уникальные конкурентные преимущества территорий страны. Сильным центрам необходимо постепенно вовлекать прилегающие районы в общий территориально-хозяйственный комплекс.</w:t>
      </w:r>
    </w:p>
    <w:p w:rsidR="00FA6157" w:rsidRDefault="00FA6157">
      <w:pPr>
        <w:pStyle w:val="newncpi"/>
      </w:pPr>
      <w:r>
        <w:lastRenderedPageBreak/>
        <w:t>Предусматриваются дифференцированный подход к региональному развитию и точечные меры поддержки и стимулирования в зависимости от специализации, компетенций и потенциала территорий.</w:t>
      </w:r>
    </w:p>
    <w:p w:rsidR="00FA6157" w:rsidRDefault="00FA6157">
      <w:pPr>
        <w:pStyle w:val="newncpi"/>
      </w:pPr>
      <w:r>
        <w:t xml:space="preserve">В </w:t>
      </w:r>
      <w:r>
        <w:rPr>
          <w:b/>
          <w:bCs/>
          <w:i/>
          <w:iCs/>
        </w:rPr>
        <w:t>г. Минске и областных центрах</w:t>
      </w:r>
      <w:r>
        <w:t xml:space="preserve"> на неиспользуемых и неэффективно используемых производственных площадях государственных предприятий намечено сформировать технопарки с привлечением частного бизнеса в целях создания современных высокотехнологичных производств с последующим их участием в программах импортозамещения и вхождением в кооперационные цепочки с крупными предприятиями страны (ОАО «МАЗ» – управляющая компания холдинга «БЕЛАВТОМАЗ», ОАО «БЕЛАЗ» – управляющая компания холдинга «БЕЛАЗ-ХОЛДИНГ», ОАО «Гомсельмаш» и другие).</w:t>
      </w:r>
    </w:p>
    <w:p w:rsidR="00FA6157" w:rsidRDefault="00FA6157">
      <w:pPr>
        <w:pStyle w:val="newncpi"/>
      </w:pPr>
      <w:r>
        <w:t>Планируется создать Минский промышленный пояс с развитием промышленных парков на территории Борисовского, Воложинского, Молодечненского, Пуховичского, Столбцовского, Узденского, Червенского районов и г. Жодино.</w:t>
      </w:r>
    </w:p>
    <w:p w:rsidR="00FA6157" w:rsidRDefault="00FA6157">
      <w:pPr>
        <w:pStyle w:val="newncpi"/>
      </w:pPr>
      <w:r>
        <w:t>В</w:t>
      </w:r>
      <w:r>
        <w:rPr>
          <w:b/>
          <w:bCs/>
          <w:i/>
          <w:iCs/>
        </w:rPr>
        <w:t xml:space="preserve"> городах и районах с численностью населения</w:t>
      </w:r>
      <w:r>
        <w:t xml:space="preserve"> </w:t>
      </w:r>
      <w:r>
        <w:rPr>
          <w:b/>
          <w:bCs/>
          <w:i/>
          <w:iCs/>
        </w:rPr>
        <w:t xml:space="preserve">80 тыс. человек и более </w:t>
      </w:r>
      <w:r>
        <w:t>планируется:</w:t>
      </w:r>
    </w:p>
    <w:p w:rsidR="00FA6157" w:rsidRDefault="00FA6157">
      <w:pPr>
        <w:pStyle w:val="newncpi"/>
      </w:pPr>
      <w:proofErr w:type="gramStart"/>
      <w:r>
        <w:t>сформировать</w:t>
      </w:r>
      <w:proofErr w:type="gramEnd"/>
      <w:r>
        <w:t xml:space="preserve"> индустриальные площадки и создать инфраструктуру по принципу «последней мили» для организации двух-трех новых предприятий и производств, не имеющих аналогов в республике;</w:t>
      </w:r>
    </w:p>
    <w:p w:rsidR="00FA6157" w:rsidRDefault="00FA6157">
      <w:pPr>
        <w:pStyle w:val="newncpi"/>
      </w:pPr>
      <w:proofErr w:type="gramStart"/>
      <w:r>
        <w:t>создать</w:t>
      </w:r>
      <w:proofErr w:type="gramEnd"/>
      <w:r>
        <w:t xml:space="preserve"> производства и освоить выпуск новых видов продукции на действующих предприятиях:</w:t>
      </w:r>
    </w:p>
    <w:p w:rsidR="00FA6157" w:rsidRDefault="00FA6157">
      <w:pPr>
        <w:pStyle w:val="newncpi"/>
      </w:pPr>
      <w:proofErr w:type="gramStart"/>
      <w:r>
        <w:t>в</w:t>
      </w:r>
      <w:proofErr w:type="gramEnd"/>
      <w:r>
        <w:t xml:space="preserve"> г. Барановичи – внедрить высокопроизводительный технологический процесс производства отливок повышенной точности из высокоточного и серого чугуна в филиале «Барановичский станкостроительный завод» ЗАО «Атлант», заменить технологическое (в том числе общепромышленное) оборудование в ОАО «558 Авиационный ремонтный завод»;</w:t>
      </w:r>
    </w:p>
    <w:p w:rsidR="00FA6157" w:rsidRDefault="00FA6157">
      <w:pPr>
        <w:pStyle w:val="newncpi"/>
      </w:pPr>
      <w:r>
        <w:t>в г. Пинске – освоить производство универсальных кривошипных горячештамповочных прессов усилием до 25 меганьютон с расширенными технологическими возможностями и новую линейку механических прессов точной штамповки усилием до 2,5 тыс. тонн в ОАО «Кузлитмаш», модернизировать производство ЗАО «Холдинговая компания «Пинскдрев» с увеличением объема выпуска фанеры и гнутоклеенных деталей до 120 тыс. куб. метров и лесопильное производство на базе ленточнопильных станков с объемом выпуска пиломатериалов до 60 тыс. куб. метров в год, внедрить инновационные технологии производства новых тканеподобных трикотажных изделий в ОАО «Полесье»;</w:t>
      </w:r>
    </w:p>
    <w:p w:rsidR="00FA6157" w:rsidRDefault="00FA6157">
      <w:pPr>
        <w:pStyle w:val="newncpi"/>
      </w:pPr>
      <w:proofErr w:type="gramStart"/>
      <w:r>
        <w:t>в</w:t>
      </w:r>
      <w:proofErr w:type="gramEnd"/>
      <w:r>
        <w:t xml:space="preserve"> Оршанском районе – завершить реконструкцию производственной площадки бывшего молочного завода ООО «Савушкин-Орша», организовать производство современного металлорежущего и вспомогательного инструмента в ОАО «Оршанский инструментальный завод»;</w:t>
      </w:r>
    </w:p>
    <w:p w:rsidR="00FA6157" w:rsidRDefault="00FA6157">
      <w:pPr>
        <w:pStyle w:val="newncpi"/>
      </w:pPr>
      <w:proofErr w:type="gramStart"/>
      <w:r>
        <w:t>в</w:t>
      </w:r>
      <w:proofErr w:type="gramEnd"/>
      <w:r>
        <w:t xml:space="preserve"> г. Новополоцке – создать производство малотоннажной химии и нефтехимии в ОАО «Новополоцкий НПЗ»;</w:t>
      </w:r>
    </w:p>
    <w:p w:rsidR="00FA6157" w:rsidRDefault="00FA6157">
      <w:pPr>
        <w:pStyle w:val="newncpi"/>
      </w:pPr>
      <w:proofErr w:type="gramStart"/>
      <w:r>
        <w:t>в</w:t>
      </w:r>
      <w:proofErr w:type="gramEnd"/>
      <w:r>
        <w:t xml:space="preserve"> Мозырском районе – завершить строительство деревообрабатывающего завода ООО «Мозырский лесозавод»;</w:t>
      </w:r>
    </w:p>
    <w:p w:rsidR="00FA6157" w:rsidRDefault="00FA6157">
      <w:pPr>
        <w:pStyle w:val="newncpi"/>
      </w:pPr>
      <w:proofErr w:type="gramStart"/>
      <w:r>
        <w:t>в</w:t>
      </w:r>
      <w:proofErr w:type="gramEnd"/>
      <w:r>
        <w:t xml:space="preserve"> Лидском районе – модернизировать волоконное производство в ОАО «Завод «Оптик», реакторный блок «Б» по производству фталевого ангидрида в ОАО «Лакокраска» со строительством турбинного отделения и установкой противодавленческой турбины;</w:t>
      </w:r>
    </w:p>
    <w:p w:rsidR="00FA6157" w:rsidRDefault="00FA6157">
      <w:pPr>
        <w:pStyle w:val="newncpi"/>
      </w:pPr>
      <w:proofErr w:type="gramStart"/>
      <w:r>
        <w:t>в</w:t>
      </w:r>
      <w:proofErr w:type="gramEnd"/>
      <w:r>
        <w:t xml:space="preserve"> Борисовском районе – создать современное гибкое автоматизированное производство узлов рулевого управления для комплектации автомобильной техники в ОАО «Борисовский завод «Автогидроусилитель», организовать производство теплообменников для легковых автомобилей в СП ООО «Борисовский завод системы теплообменов «ЯСИН БАТЭ», освоить выпуск мебели в ИООО «СВУДС экспорт»;</w:t>
      </w:r>
    </w:p>
    <w:p w:rsidR="00FA6157" w:rsidRDefault="00FA6157">
      <w:pPr>
        <w:pStyle w:val="newncpi"/>
      </w:pPr>
      <w:proofErr w:type="gramStart"/>
      <w:r>
        <w:lastRenderedPageBreak/>
        <w:t>в</w:t>
      </w:r>
      <w:proofErr w:type="gramEnd"/>
      <w:r>
        <w:t xml:space="preserve"> г. Бобруйске – освоить производство цельнометаллокордных шин радиальной конструкции с посадочным диаметром 25–29 дюймов в ОАО «Белшина».</w:t>
      </w:r>
    </w:p>
    <w:p w:rsidR="00FA6157" w:rsidRDefault="00FA6157">
      <w:pPr>
        <w:pStyle w:val="newncpi"/>
      </w:pPr>
      <w:r>
        <w:t>На территориях, где были реализованы важнейшие инвестиционные проекты, обеспечить формирование новых взаимодополняющих или направленных на увеличение глубины переделов и длины технологических цепочек производств:</w:t>
      </w:r>
    </w:p>
    <w:p w:rsidR="00FA6157" w:rsidRDefault="00FA6157">
      <w:pPr>
        <w:pStyle w:val="newncpi"/>
      </w:pPr>
      <w:proofErr w:type="gramStart"/>
      <w:r>
        <w:t>в</w:t>
      </w:r>
      <w:proofErr w:type="gramEnd"/>
      <w:r>
        <w:t xml:space="preserve"> Витебской области – построить новую полиэтилен-пропиленовую установку на заводе «Полимир» ОАО «Нафтан»;</w:t>
      </w:r>
    </w:p>
    <w:p w:rsidR="00FA6157" w:rsidRDefault="00FA6157">
      <w:pPr>
        <w:pStyle w:val="newncpi"/>
      </w:pPr>
      <w:proofErr w:type="gramStart"/>
      <w:r>
        <w:t>в</w:t>
      </w:r>
      <w:proofErr w:type="gramEnd"/>
      <w:r>
        <w:t xml:space="preserve"> Гомельской области – освоить выпуск мешочной бумаги в ОАО «Светлогорский ЦКК»;</w:t>
      </w:r>
    </w:p>
    <w:p w:rsidR="00FA6157" w:rsidRDefault="00FA6157">
      <w:pPr>
        <w:pStyle w:val="newncpi"/>
      </w:pPr>
      <w:proofErr w:type="gramStart"/>
      <w:r>
        <w:t>в</w:t>
      </w:r>
      <w:proofErr w:type="gramEnd"/>
      <w:r>
        <w:t xml:space="preserve"> Могилевской области – ввести в эксплуатацию производство упаковочной бумаги на РУП «Завод газетной бумаги», полиэфирных нетканых полотен в ОАО «Могилевхимволокно».</w:t>
      </w:r>
    </w:p>
    <w:p w:rsidR="00FA6157" w:rsidRDefault="00FA6157">
      <w:pPr>
        <w:pStyle w:val="newncpi"/>
      </w:pPr>
      <w:r>
        <w:t>В каждом районе предполагается создать одно-два средних промышленных предприятия, в том числе при участии субъектов малого и среднего бизнеса.</w:t>
      </w:r>
    </w:p>
    <w:p w:rsidR="00FA6157" w:rsidRDefault="00FA6157">
      <w:pPr>
        <w:pStyle w:val="newncpi"/>
      </w:pPr>
      <w:r>
        <w:t>В</w:t>
      </w:r>
      <w:r>
        <w:rPr>
          <w:b/>
          <w:bCs/>
          <w:i/>
          <w:iCs/>
        </w:rPr>
        <w:t xml:space="preserve"> малых и средних городах, сельских регионах</w:t>
      </w:r>
      <w:r>
        <w:t xml:space="preserve"> акцент будет сделан на углубление переработки местных ресурсов, развитие компетенций, привлечение инвестиций в новые производства.</w:t>
      </w:r>
    </w:p>
    <w:p w:rsidR="00FA6157" w:rsidRDefault="00FA6157">
      <w:pPr>
        <w:pStyle w:val="newncpi"/>
      </w:pPr>
      <w:r>
        <w:t>Намечено создать производства по глубокой переработке местных сырьевых ресурсов:</w:t>
      </w:r>
    </w:p>
    <w:p w:rsidR="00FA6157" w:rsidRDefault="00FA6157">
      <w:pPr>
        <w:pStyle w:val="newncpi"/>
      </w:pPr>
      <w:proofErr w:type="gramStart"/>
      <w:r>
        <w:t>в</w:t>
      </w:r>
      <w:proofErr w:type="gramEnd"/>
      <w:r>
        <w:t xml:space="preserve"> Ганцевичском районе – пеллетный завод;</w:t>
      </w:r>
    </w:p>
    <w:p w:rsidR="00FA6157" w:rsidRDefault="00FA6157">
      <w:pPr>
        <w:pStyle w:val="newncpi"/>
      </w:pPr>
      <w:proofErr w:type="gramStart"/>
      <w:r>
        <w:t>в</w:t>
      </w:r>
      <w:proofErr w:type="gramEnd"/>
      <w:r>
        <w:t xml:space="preserve"> г.п. Шарковщина – завод по производству древесно-модульных конструкций ООО «Шарковщинский домостроительный комбинат»;</w:t>
      </w:r>
    </w:p>
    <w:p w:rsidR="00FA6157" w:rsidRDefault="00FA6157">
      <w:pPr>
        <w:pStyle w:val="newncpi"/>
      </w:pPr>
      <w:proofErr w:type="gramStart"/>
      <w:r>
        <w:t>в</w:t>
      </w:r>
      <w:proofErr w:type="gramEnd"/>
      <w:r>
        <w:t xml:space="preserve"> Лельчицком районе – производство по переработке мяса ООО «Корвол»;</w:t>
      </w:r>
    </w:p>
    <w:p w:rsidR="00FA6157" w:rsidRDefault="00FA6157">
      <w:pPr>
        <w:pStyle w:val="newncpi"/>
      </w:pPr>
      <w:proofErr w:type="gramStart"/>
      <w:r>
        <w:t>в</w:t>
      </w:r>
      <w:proofErr w:type="gramEnd"/>
      <w:r>
        <w:t xml:space="preserve"> Свислочском районе – деревообрабатывающий завод ООО «ЭйчЭс Белакон»;</w:t>
      </w:r>
    </w:p>
    <w:p w:rsidR="00FA6157" w:rsidRDefault="00FA6157">
      <w:pPr>
        <w:pStyle w:val="newncpi"/>
      </w:pPr>
      <w:proofErr w:type="gramStart"/>
      <w:r>
        <w:t>в</w:t>
      </w:r>
      <w:proofErr w:type="gramEnd"/>
      <w:r>
        <w:t xml:space="preserve"> Клецком районе – производство пастеризованных фруктовых консервов для детского питания с применением щадящих режимов обработки местного сырья, выращенного в собственной сырьевой зоне ОАО «Гамма вкуса»;</w:t>
      </w:r>
    </w:p>
    <w:p w:rsidR="00FA6157" w:rsidRDefault="00FA6157">
      <w:pPr>
        <w:pStyle w:val="newncpi"/>
      </w:pPr>
      <w:proofErr w:type="gramStart"/>
      <w:r>
        <w:t>в</w:t>
      </w:r>
      <w:proofErr w:type="gramEnd"/>
      <w:r>
        <w:t xml:space="preserve"> Глусском районе – деревообрабатывающее производство ООО «ЗЕЛЕНВУД»;</w:t>
      </w:r>
    </w:p>
    <w:p w:rsidR="00FA6157" w:rsidRDefault="00FA6157">
      <w:pPr>
        <w:pStyle w:val="newncpi"/>
      </w:pPr>
      <w:proofErr w:type="gramStart"/>
      <w:r>
        <w:t>в</w:t>
      </w:r>
      <w:proofErr w:type="gramEnd"/>
      <w:r>
        <w:t xml:space="preserve"> Хотимском районе – производство грунтовых смесей на основе трепела ООО «Форматвнешторг»;</w:t>
      </w:r>
    </w:p>
    <w:p w:rsidR="00FA6157" w:rsidRDefault="00FA6157">
      <w:pPr>
        <w:pStyle w:val="newncpi"/>
      </w:pPr>
      <w:proofErr w:type="gramStart"/>
      <w:r>
        <w:t>в</w:t>
      </w:r>
      <w:proofErr w:type="gramEnd"/>
      <w:r>
        <w:t xml:space="preserve"> Чериковском районе – завод для розлива питьевой и минеральной бутилированной воды ООО «Натуральная вода».</w:t>
      </w:r>
    </w:p>
    <w:p w:rsidR="00FA6157" w:rsidRDefault="00FA6157">
      <w:pPr>
        <w:pStyle w:val="newncpi"/>
      </w:pPr>
      <w:r>
        <w:t>Предполагается расширить полномочия местных органов власти для поддержки создания новых предприятий и производств, в том числе предоставить право самостоятельно принимать решения в части распоряжения государственным имуществом и земельными участками.</w:t>
      </w:r>
    </w:p>
    <w:p w:rsidR="00FA6157" w:rsidRDefault="00FA6157">
      <w:pPr>
        <w:pStyle w:val="newncpi"/>
      </w:pPr>
      <w:r>
        <w:t>На территориях с </w:t>
      </w:r>
      <w:r>
        <w:rPr>
          <w:b/>
          <w:bCs/>
          <w:i/>
          <w:iCs/>
        </w:rPr>
        <w:t>преференциальными режимами</w:t>
      </w:r>
      <w:r>
        <w:t xml:space="preserve"> приоритет будет отдан созданию высокотехнологичных экспортоориентированных производств. Предусматривается вложить в инфраструктуру не менее 500 млн. рублей и привлечь не менее 10 млрд. рублей инвестиций за пятилетие. На территории индустриального парка «Великий камень» при участии АО «Дуйсбургер Хафен» (Германия) и китайской компании «China Merchants Group» будет создан мультимодальный железнодорожный грузовой хаб.</w:t>
      </w:r>
    </w:p>
    <w:p w:rsidR="00FA6157" w:rsidRDefault="00FA6157">
      <w:pPr>
        <w:pStyle w:val="newncpi"/>
      </w:pPr>
      <w:r>
        <w:t>Планируется увеличить количество резидентов индустриального парка «Великий камень» не менее чем до 200 единиц к концу 2025 года.</w:t>
      </w:r>
    </w:p>
    <w:p w:rsidR="00FA6157" w:rsidRDefault="00FA6157">
      <w:pPr>
        <w:pStyle w:val="newncpi"/>
      </w:pPr>
      <w:r>
        <w:t xml:space="preserve">В </w:t>
      </w:r>
      <w:r>
        <w:rPr>
          <w:b/>
          <w:bCs/>
          <w:i/>
          <w:iCs/>
        </w:rPr>
        <w:t>городах-спутниках Минска и прилегающих сельских населенных пунктах</w:t>
      </w:r>
      <w:r>
        <w:t xml:space="preserve"> в числе важнейших задач определено:</w:t>
      </w:r>
    </w:p>
    <w:p w:rsidR="00FA6157" w:rsidRDefault="00FA6157">
      <w:pPr>
        <w:pStyle w:val="newncpi"/>
      </w:pPr>
      <w:proofErr w:type="gramStart"/>
      <w:r>
        <w:t>увеличение</w:t>
      </w:r>
      <w:proofErr w:type="gramEnd"/>
      <w:r>
        <w:t xml:space="preserve"> объемов строительства индивидуального жилья и социальной инфраструктуры;</w:t>
      </w:r>
    </w:p>
    <w:p w:rsidR="00FA6157" w:rsidRDefault="00FA6157">
      <w:pPr>
        <w:pStyle w:val="newncpi"/>
      </w:pPr>
      <w:proofErr w:type="gramStart"/>
      <w:r>
        <w:t>обеспечение</w:t>
      </w:r>
      <w:proofErr w:type="gramEnd"/>
      <w:r>
        <w:t xml:space="preserve"> доступности транспортного сообщения городов-спутников и их новых районов со столицей.</w:t>
      </w:r>
    </w:p>
    <w:p w:rsidR="00FA6157" w:rsidRDefault="00FA6157">
      <w:pPr>
        <w:pStyle w:val="newncpi"/>
      </w:pPr>
      <w:r>
        <w:t xml:space="preserve">На территориях, </w:t>
      </w:r>
      <w:r>
        <w:rPr>
          <w:b/>
          <w:bCs/>
          <w:i/>
          <w:iCs/>
        </w:rPr>
        <w:t>пострадавших от катастрофы на Чернобыльской АЭС</w:t>
      </w:r>
      <w:r>
        <w:t xml:space="preserve">, продолжатся реализация защитных мер, контроль радиоактивного загрязнения </w:t>
      </w:r>
      <w:r>
        <w:lastRenderedPageBreak/>
        <w:t>окружающей среды, реализация проектов по социально-экономическому развитию районов и других.</w:t>
      </w:r>
    </w:p>
    <w:p w:rsidR="00FA6157" w:rsidRDefault="00FA6157">
      <w:pPr>
        <w:pStyle w:val="newncpi"/>
      </w:pPr>
      <w:r>
        <w:t>Предполагается</w:t>
      </w:r>
      <w:r>
        <w:rPr>
          <w:b/>
          <w:bCs/>
          <w:i/>
          <w:iCs/>
        </w:rPr>
        <w:t xml:space="preserve"> </w:t>
      </w:r>
      <w:r>
        <w:t>сформировать в регионах</w:t>
      </w:r>
      <w:r>
        <w:rPr>
          <w:b/>
          <w:bCs/>
          <w:i/>
          <w:iCs/>
        </w:rPr>
        <w:t xml:space="preserve"> </w:t>
      </w:r>
      <w:r>
        <w:t>тринадцать кластеров с учетом наличия потенциала и развития компетенций:</w:t>
      </w:r>
    </w:p>
    <w:p w:rsidR="00FA6157" w:rsidRDefault="00FA6157">
      <w:pPr>
        <w:pStyle w:val="newncpi"/>
      </w:pPr>
      <w:proofErr w:type="gramStart"/>
      <w:r>
        <w:t>в</w:t>
      </w:r>
      <w:proofErr w:type="gramEnd"/>
      <w:r>
        <w:t xml:space="preserve"> Брестской области – два кластера: в сфере биотехнологий и «зеленой» экономики (ядро – УО «Полесский государственный университет», ООО «Технопарк Полесье»), мебельный кластер на базе ОАО «Ивацевичдрев»;</w:t>
      </w:r>
    </w:p>
    <w:p w:rsidR="00FA6157" w:rsidRDefault="00FA6157">
      <w:pPr>
        <w:pStyle w:val="newncpi"/>
      </w:pPr>
      <w:r>
        <w:t>в Витебской области – три кластера: в области медико-фармацевтической промышленности «Союз медицинских, фармацевтических и научно-образовательных организаций «Медицина и фармацевтика – инновационные проекты» на основе УО «Витебский государственный медицинский университет», в нефтехимической промышленности кластер на основе ОАО «Нафтан», завода «Полимир» ОАО «Нафтан», УО «Полоцкий государственный университет», кластер по выращиванию и переработке льна на основе РУПТП «Оршанский льнокомбинат», РУП «Институт льна», УО «Витебский государственный технологический университет»;</w:t>
      </w:r>
    </w:p>
    <w:p w:rsidR="00FA6157" w:rsidRDefault="00FA6157">
      <w:pPr>
        <w:pStyle w:val="newncpi"/>
      </w:pPr>
      <w:proofErr w:type="gramStart"/>
      <w:r>
        <w:t>в</w:t>
      </w:r>
      <w:proofErr w:type="gramEnd"/>
      <w:r>
        <w:t xml:space="preserve"> Гомельской области – машиностроительный кластер (ядро – УО «Гомельский государственный технический университет имени П.О.Сухого», ОАО «Гомсельмаш»);</w:t>
      </w:r>
    </w:p>
    <w:p w:rsidR="00FA6157" w:rsidRDefault="00FA6157">
      <w:pPr>
        <w:pStyle w:val="newncpi"/>
      </w:pPr>
      <w:proofErr w:type="gramStart"/>
      <w:r>
        <w:t>в</w:t>
      </w:r>
      <w:proofErr w:type="gramEnd"/>
      <w:r>
        <w:t xml:space="preserve"> Гродненской области – химический кластер на базе ОАО «Гродно Азот» (ядро – ОАО «Гродненский научно-исследовательский и проектный институт азотной промышленности и продуктов органического синтеза»);</w:t>
      </w:r>
    </w:p>
    <w:p w:rsidR="00FA6157" w:rsidRDefault="00FA6157">
      <w:pPr>
        <w:pStyle w:val="newncpi"/>
      </w:pPr>
      <w:proofErr w:type="gramStart"/>
      <w:r>
        <w:t>в</w:t>
      </w:r>
      <w:proofErr w:type="gramEnd"/>
      <w:r>
        <w:t xml:space="preserve"> г. Минске – три кластера: в сфере приборостроения на базе ассоциации «Инновационное приборостроение», IT-кластер на базе научно-технологической ассоциации «Инфопарк» и Парка высоких технологий, автомобильный кластер на базе ОАО «Белкоммунмаш» и ОАО «МАЗ» – управляющая компания холдинга «БЕЛАВТОМАЗ»;</w:t>
      </w:r>
    </w:p>
    <w:p w:rsidR="00FA6157" w:rsidRDefault="00FA6157">
      <w:pPr>
        <w:pStyle w:val="newncpi"/>
      </w:pPr>
      <w:proofErr w:type="gramStart"/>
      <w:r>
        <w:t>в</w:t>
      </w:r>
      <w:proofErr w:type="gramEnd"/>
      <w:r>
        <w:t xml:space="preserve"> Минской области – горно-химический кластер на базе ОАО «Беларуськалий», ПУП «Калийпроект», НАН Беларуси, ОАО «БелГорХимПром»;</w:t>
      </w:r>
    </w:p>
    <w:p w:rsidR="00FA6157" w:rsidRDefault="00FA6157">
      <w:pPr>
        <w:pStyle w:val="newncpi"/>
      </w:pPr>
      <w:proofErr w:type="gramStart"/>
      <w:r>
        <w:t>в</w:t>
      </w:r>
      <w:proofErr w:type="gramEnd"/>
      <w:r>
        <w:t xml:space="preserve"> Могилевской области – два кластера: в сфере аграрных биотехнологий на базе ООО «Технопарк «Горки», УО «Белорусская государственная сельскохозяйственная академия» и IT-кластер на базе ОАО «Могилевское агентство регионального развития», МОУВО «Белорусско-Российский университет».</w:t>
      </w:r>
    </w:p>
    <w:p w:rsidR="00FA6157" w:rsidRDefault="00FA6157">
      <w:pPr>
        <w:pStyle w:val="newncpi"/>
      </w:pPr>
      <w:r>
        <w:t>Планируется создать интегрированные структуры в сфере деревообработки, в том числе в Витебской области при участии ООО «Акитама», ИООО «ВМГ-групп», в Гродненской области – группы компаний «Кроноспан», в Могилевской области – ИООО «Мебелаин» и ИООО «ВМГ Индустри».</w:t>
      </w:r>
    </w:p>
    <w:p w:rsidR="00FA6157" w:rsidRDefault="00FA6157">
      <w:pPr>
        <w:pStyle w:val="newncpi"/>
      </w:pPr>
      <w:r>
        <w:t>Реализация намеченных мер будет способствовать созданию новых рабочих мест, увеличению доходов населения, положительным изменениям в структуре региональной экономики.</w:t>
      </w:r>
    </w:p>
    <w:p w:rsidR="00FA6157" w:rsidRDefault="00FA6157">
      <w:pPr>
        <w:pStyle w:val="newncpi"/>
      </w:pPr>
      <w:r>
        <w:t> </w:t>
      </w:r>
    </w:p>
    <w:p w:rsidR="00FA6157" w:rsidRDefault="00FA6157">
      <w:pPr>
        <w:pStyle w:val="underpoint"/>
      </w:pPr>
      <w:r>
        <w:rPr>
          <w:b/>
          <w:bCs/>
        </w:rPr>
        <w:t xml:space="preserve">9.2. Создание комфортной и безопасной среды проживания </w:t>
      </w:r>
    </w:p>
    <w:p w:rsidR="00FA6157" w:rsidRDefault="00FA6157">
      <w:pPr>
        <w:pStyle w:val="newncpi"/>
      </w:pPr>
      <w:r>
        <w:t> </w:t>
      </w:r>
    </w:p>
    <w:p w:rsidR="00FA6157" w:rsidRDefault="00FA6157">
      <w:pPr>
        <w:pStyle w:val="newncpi"/>
      </w:pPr>
      <w:r>
        <w:t>Ключевым вектором региональной политики станет создание комфортных условий для жизни, работы и самореализации человека.</w:t>
      </w:r>
    </w:p>
    <w:p w:rsidR="00FA6157" w:rsidRDefault="00FA6157">
      <w:pPr>
        <w:pStyle w:val="newncpi"/>
      </w:pPr>
      <w:r>
        <w:t>Главная задача – повысить качество и доступность жилья, транспортной и коммунальной инфраструктуры.</w:t>
      </w:r>
    </w:p>
    <w:p w:rsidR="00FA6157" w:rsidRDefault="00FA6157">
      <w:pPr>
        <w:pStyle w:val="newncpi"/>
      </w:pPr>
      <w:r>
        <w:rPr>
          <w:b/>
          <w:bCs/>
          <w:i/>
          <w:iCs/>
        </w:rPr>
        <w:t>Жилищное строительство</w:t>
      </w:r>
      <w:r>
        <w:t xml:space="preserve"> будет базироваться на сочетании многоэтажного и индивидуального малоэтажного строительства. Акцент – на поддержку строительства индивидуального жилья усадебного типа с объектами инженерной, транспортной и социальной инфраструктуры.</w:t>
      </w:r>
    </w:p>
    <w:p w:rsidR="00FA6157" w:rsidRDefault="00FA6157">
      <w:pPr>
        <w:pStyle w:val="newncpi"/>
      </w:pPr>
      <w:r>
        <w:t xml:space="preserve">Строительство жилых комплексов планируется осуществлять одним застройщиком, которым будет обеспечено строительство как жилых домов, так и необходимой инженерной, транспортной и социальной инфраструктуры. Приоритет в предоставлении </w:t>
      </w:r>
      <w:r>
        <w:lastRenderedPageBreak/>
        <w:t>земельных участков для строительства жилья получат организации, имеющие собственные производственные мощности.</w:t>
      </w:r>
    </w:p>
    <w:p w:rsidR="00FA6157" w:rsidRDefault="00FA6157">
      <w:pPr>
        <w:pStyle w:val="newncpi"/>
      </w:pPr>
      <w:r>
        <w:t>Предусматривается нарастить объемы строительства жилья с государственной поддержкой для социально уязвимых категорий граждан – многодетных семей, детей-сирот, инвалидов и других.</w:t>
      </w:r>
    </w:p>
    <w:p w:rsidR="00FA6157" w:rsidRDefault="00FA6157">
      <w:pPr>
        <w:pStyle w:val="newncpi"/>
      </w:pPr>
      <w:r>
        <w:t xml:space="preserve">Повышению доступности жилья будет способствовать строительство </w:t>
      </w:r>
      <w:r>
        <w:rPr>
          <w:b/>
          <w:bCs/>
          <w:i/>
          <w:iCs/>
        </w:rPr>
        <w:t>арендного жилья</w:t>
      </w:r>
      <w:r>
        <w:t>, в том числе с привлечением частного капитала.</w:t>
      </w:r>
    </w:p>
    <w:p w:rsidR="00FA6157" w:rsidRDefault="00FA6157">
      <w:pPr>
        <w:pStyle w:val="newncpi"/>
      </w:pPr>
      <w:r>
        <w:t>Предполагается, что жилье будет вводиться в эксплуатацию только в энергоэффективном исполнении.</w:t>
      </w:r>
    </w:p>
    <w:p w:rsidR="00FA6157" w:rsidRDefault="00FA6157">
      <w:pPr>
        <w:pStyle w:val="newncpi"/>
      </w:pPr>
      <w:r>
        <w:t>Ввод в эксплуатацию электродомов (многоквартирных жилых домов с использованием электрической энергии для целей водо- и теплоснабжения, приготовления пищи) в 2025 году составит не менее 30 процентов от общего объема введенного жилья.</w:t>
      </w:r>
    </w:p>
    <w:p w:rsidR="00FA6157" w:rsidRDefault="00FA6157">
      <w:pPr>
        <w:pStyle w:val="newncpi"/>
      </w:pPr>
      <w:r>
        <w:t xml:space="preserve">Получат развитие </w:t>
      </w:r>
      <w:r>
        <w:rPr>
          <w:b/>
          <w:bCs/>
          <w:i/>
          <w:iCs/>
        </w:rPr>
        <w:t>«зеленое» строительство</w:t>
      </w:r>
      <w:r>
        <w:t>, основанное на расширенном использовании экологичных материалов, в том числе конструкций из древесины, и строительство ландшафтно-рекреационных объектов. Предстоит разработать национальные стандарты «зеленого» строительства и внедрить добровольную сертификацию строительства объектов по таким стандартам.</w:t>
      </w:r>
    </w:p>
    <w:p w:rsidR="00FA6157" w:rsidRDefault="00FA6157">
      <w:pPr>
        <w:pStyle w:val="newncpi"/>
      </w:pPr>
      <w:r>
        <w:t>Предусматривается безвозмездно предоставить гражданам неиспользуемые земельные участки для строительства жилья в малонаселенных деревнях с условием наведения порядка как на самом участке, так и на прилегающей к нему территории (возрождение «неперспективных» деревень).</w:t>
      </w:r>
    </w:p>
    <w:p w:rsidR="00FA6157" w:rsidRDefault="00FA6157">
      <w:pPr>
        <w:pStyle w:val="newncpi"/>
      </w:pPr>
      <w:r>
        <w:t>Проведение капитального ремонта жилых домов будет осуществляться путем реализации перспективных (на пять лет) программ и ежегодных графиков, утверждаемых местными органами. Данные программы и планы будут доступны для ознакомления населению – размещаться в СМИ и глобальной компьютерной сети Интернет. Ежегодная доля ввода общей площади жилых домов после капитального ремонта составит не менее 3 процентов от эксплуатируемого жилищного фонда.</w:t>
      </w:r>
    </w:p>
    <w:p w:rsidR="00FA6157" w:rsidRDefault="00FA6157">
      <w:pPr>
        <w:pStyle w:val="newncpi"/>
      </w:pPr>
      <w:r>
        <w:t>Будут продолжены работы по восстановлению технических и потребительских качеств и эксплуатационной надежности жилищного фонда, в том числе путем замены лифтового оборудования (около 4700 лифтов за пятилетие).</w:t>
      </w:r>
    </w:p>
    <w:p w:rsidR="00FA6157" w:rsidRDefault="00FA6157">
      <w:pPr>
        <w:pStyle w:val="newncpi"/>
      </w:pPr>
      <w:r>
        <w:t>Предстоит повысить уровень благоустройства придомовых территорий в целях улучшения внешнего вида населенных пунктов. Ремонт и (или) реконструкция придомовых территорий многоквартирных жилых домов составят не менее 2 процентов в год от общего количества таких территорий.</w:t>
      </w:r>
    </w:p>
    <w:p w:rsidR="00FA6157" w:rsidRDefault="00FA6157">
      <w:pPr>
        <w:pStyle w:val="newncpi"/>
      </w:pPr>
      <w:r>
        <w:t>Для обеспечения доступности жилья предусматривается сохранить среднюю стоимость 1 кв. метра, строящегося с государственной поддержкой, на уровне не выше средней заработной платы по стране.</w:t>
      </w:r>
    </w:p>
    <w:p w:rsidR="00FA6157" w:rsidRDefault="00FA6157">
      <w:pPr>
        <w:pStyle w:val="newncpi"/>
      </w:pPr>
      <w:r>
        <w:t>Строительству компактного недорогого жилья будет способствовать использование технологий каркасного домостроения из древесины и сборного железобетона.</w:t>
      </w:r>
    </w:p>
    <w:p w:rsidR="00FA6157" w:rsidRDefault="00FA6157">
      <w:pPr>
        <w:pStyle w:val="newncpi"/>
      </w:pPr>
      <w:r>
        <w:t>Для удовлетворения спроса населения на жилье намечено дальнейшее развитие таких финансовых инструментов, как лизинг жилых помещений, жилищные строительные сбережения, ипотечное жилищное кредитование.</w:t>
      </w:r>
    </w:p>
    <w:p w:rsidR="00FA6157" w:rsidRDefault="00FA6157">
      <w:pPr>
        <w:pStyle w:val="newncpi"/>
      </w:pPr>
      <w:r>
        <w:t>В результате реализации запланированных мер обеспеченность населения жильем составит не менее 28,5 кв. метра общей площади жилья на одного человека в 2025 году.</w:t>
      </w:r>
    </w:p>
    <w:p w:rsidR="00FA6157" w:rsidRDefault="00FA6157">
      <w:pPr>
        <w:pStyle w:val="newncpi"/>
      </w:pPr>
      <w:r>
        <w:t xml:space="preserve">Повышение комфортности условий проживания предусматривает </w:t>
      </w:r>
      <w:r>
        <w:rPr>
          <w:b/>
          <w:bCs/>
          <w:i/>
          <w:iCs/>
        </w:rPr>
        <w:t>качественное улучшение коммунальной инфраструктуры</w:t>
      </w:r>
      <w:r>
        <w:rPr>
          <w:b/>
          <w:bCs/>
        </w:rPr>
        <w:t>.</w:t>
      </w:r>
      <w:r>
        <w:rPr>
          <w:b/>
          <w:bCs/>
          <w:i/>
          <w:iCs/>
        </w:rPr>
        <w:t xml:space="preserve"> </w:t>
      </w:r>
      <w:r>
        <w:t>Основные усилия будут сконцентрированы на ее развитии и поддержании в надлежащем состоянии, обеспечении населения качественной питьевой водой, улучшении качества очистки сточных вод.</w:t>
      </w:r>
    </w:p>
    <w:p w:rsidR="00FA6157" w:rsidRDefault="00FA6157">
      <w:pPr>
        <w:pStyle w:val="newncpi"/>
      </w:pPr>
      <w:r>
        <w:t>Продолжится работа по модернизации (реконструкции) газовых котельных и котельных на местных топливно-энергетических ресурсах, оптимизации схемы теплоснабжения населенных пунктов с ликвидацией неэффективных котельных.</w:t>
      </w:r>
    </w:p>
    <w:p w:rsidR="00FA6157" w:rsidRDefault="00FA6157">
      <w:pPr>
        <w:pStyle w:val="newncpi"/>
      </w:pPr>
      <w:r>
        <w:lastRenderedPageBreak/>
        <w:t>Запланирована ежегодная замена находящихся в хозяйственном ведении организаций жилищно-коммунального хозяйства тепловых сетей, а также сетей водоснабжения и водоотведения, нормативный срок эксплуатации которых истек.</w:t>
      </w:r>
    </w:p>
    <w:p w:rsidR="00FA6157" w:rsidRDefault="00FA6157">
      <w:pPr>
        <w:pStyle w:val="newncpi"/>
      </w:pPr>
      <w:r>
        <w:t>Предстоит построить в регионах более 800 станций обезжелезивания воды и 300 водозаборных скважин, подключить населенные пункты к существующим централизованным системам водоснабжения с водой нормативного качества, ввести новые и реконструировать (модернизировать) очистные сооружения, в том числе путем ликвидации полей фильтрации с учетом экономической целесообразности. В г. Минске предусматривается перевод на подземные источники водоснабжения.</w:t>
      </w:r>
    </w:p>
    <w:p w:rsidR="00FA6157" w:rsidRDefault="00FA6157">
      <w:pPr>
        <w:pStyle w:val="newncpi"/>
      </w:pPr>
      <w:r>
        <w:t>В результате в 2025 году 100 процентов потребителей будут обеспечены качественной питьевой водой.</w:t>
      </w:r>
    </w:p>
    <w:p w:rsidR="00FA6157" w:rsidRDefault="00FA6157">
      <w:pPr>
        <w:pStyle w:val="newncpi"/>
      </w:pPr>
      <w:r>
        <w:t>Для совершенствования системы</w:t>
      </w:r>
      <w:r>
        <w:rPr>
          <w:b/>
          <w:bCs/>
        </w:rPr>
        <w:t xml:space="preserve"> </w:t>
      </w:r>
      <w:r>
        <w:rPr>
          <w:b/>
          <w:bCs/>
          <w:i/>
          <w:iCs/>
        </w:rPr>
        <w:t>обращения с коммунальными отходами</w:t>
      </w:r>
      <w:r>
        <w:rPr>
          <w:i/>
          <w:iCs/>
        </w:rPr>
        <w:t xml:space="preserve"> </w:t>
      </w:r>
      <w:r>
        <w:t>планируется создать региональные объекты по сортировке и использованию ТКО, полигоны для их захоронения. Намечены меры по внедрению технологий энергетического использования коммунальных отходов, обработки и использования их органической части. Будет введен в эксплуатацию объект по энергетическому использованию ТКО в г. Минске, освоены мощности по использованию RDF-топлива при производстве цемента, внедрена депозитная система сбора потребительской упаковки.</w:t>
      </w:r>
    </w:p>
    <w:p w:rsidR="00FA6157" w:rsidRDefault="00FA6157">
      <w:pPr>
        <w:pStyle w:val="newncpi"/>
      </w:pPr>
      <w:r>
        <w:t>В 2025 году планируется использовать не менее 64 процентов ТКО от объема их образования.</w:t>
      </w:r>
    </w:p>
    <w:p w:rsidR="00FA6157" w:rsidRDefault="00FA6157">
      <w:pPr>
        <w:pStyle w:val="newncpi"/>
      </w:pPr>
      <w:r>
        <w:t xml:space="preserve">Важная составляющая комфортной среды проживания – </w:t>
      </w:r>
      <w:r>
        <w:rPr>
          <w:b/>
          <w:bCs/>
          <w:i/>
          <w:iCs/>
        </w:rPr>
        <w:t>транспортная доступность территорий</w:t>
      </w:r>
      <w:r>
        <w:t>. Предстоит обеспечить сельские территории развитой транспортной инфраструктурой, внедрить новые социальные стандарты качества жизни для создания в агрогородках условий обслуживания населения, приближенных к городским. </w:t>
      </w:r>
    </w:p>
    <w:p w:rsidR="00FA6157" w:rsidRDefault="00FA6157">
      <w:pPr>
        <w:pStyle w:val="newncpi"/>
      </w:pPr>
      <w:r>
        <w:t>Предусматривается сформировать удобные для граждан графики и маршруты общественного транспорта. Будут внедрены системы мониторинга общественного транспорта и сеть «умных остановок».</w:t>
      </w:r>
    </w:p>
    <w:p w:rsidR="00FA6157" w:rsidRDefault="00FA6157">
      <w:pPr>
        <w:pStyle w:val="newncpi"/>
      </w:pPr>
      <w:r>
        <w:t>Возмещение населением затрат на оказание услуг по перевозке пассажиров городским транспортом составит не менее 70 процентов к концу 2025 года.</w:t>
      </w:r>
    </w:p>
    <w:p w:rsidR="00FA6157" w:rsidRDefault="00FA6157">
      <w:pPr>
        <w:pStyle w:val="newncpi"/>
      </w:pPr>
      <w:r>
        <w:t>Планируется создать развитую инфраструктуру для велодвижения и средств персональной мобильности, адаптировать инфраструктуру к стандартам доступности, в том числе для лиц с инвалидностью.</w:t>
      </w:r>
    </w:p>
    <w:p w:rsidR="00FA6157" w:rsidRDefault="00FA6157">
      <w:pPr>
        <w:pStyle w:val="newncpi"/>
      </w:pPr>
      <w:r>
        <w:t xml:space="preserve">Для обеспечения </w:t>
      </w:r>
      <w:r>
        <w:rPr>
          <w:b/>
          <w:bCs/>
          <w:i/>
          <w:iCs/>
        </w:rPr>
        <w:t>безопасности</w:t>
      </w:r>
      <w:r>
        <w:t xml:space="preserve"> населения в случае возникновения чрезвычайных ситуаций во всех районах республики предусматривается завершение модернизации автоматизированной системы централизованного оповещения населения, органов управления и сил Государственной системы предупреждения и ликвидации чрезвычайных ситуаций и гражданской обороны об угрозе возникновения или возникновении чрезвычайных ситуаций природного и техногенного характера, о правилах поведения населения в определенной чрезвычайной ситуации, о ходе ликвидации ее последствий.</w:t>
      </w:r>
    </w:p>
    <w:p w:rsidR="00FA6157" w:rsidRDefault="00FA6157">
      <w:pPr>
        <w:pStyle w:val="newncpi"/>
      </w:pPr>
      <w:r>
        <w:t>Инструментом выполнения поставленных задач станет реализация государственных программ на 2021–2025 годы «Строительство жилья», «Комфортное жилье и благоприятная среда», отраслевых программ на 2021–2025 годы, Национального инфраструктурного плана на период до 2025 года, программ социально-экономического развития административно-территориальных единиц на 2021–2025 годы, планов развития отдельных регионов.</w:t>
      </w:r>
    </w:p>
    <w:p w:rsidR="00FA6157" w:rsidRDefault="00FA6157">
      <w:pPr>
        <w:pStyle w:val="newncpi"/>
      </w:pPr>
      <w:r>
        <w:t> </w:t>
      </w:r>
    </w:p>
    <w:p w:rsidR="00FA6157" w:rsidRDefault="00FA6157">
      <w:pPr>
        <w:pStyle w:val="underpoint"/>
      </w:pPr>
      <w:r>
        <w:rPr>
          <w:b/>
          <w:bCs/>
        </w:rPr>
        <w:t>9.3. Обеспечение экологически безопасной жизнедеятельности населения, улучшение охраны окружающей среды,</w:t>
      </w:r>
      <w:r>
        <w:t xml:space="preserve"> </w:t>
      </w:r>
      <w:r>
        <w:rPr>
          <w:b/>
          <w:bCs/>
        </w:rPr>
        <w:t>эффективное использование природных ресурсов</w:t>
      </w:r>
    </w:p>
    <w:p w:rsidR="00FA6157" w:rsidRDefault="00FA6157">
      <w:pPr>
        <w:pStyle w:val="newncpi"/>
      </w:pPr>
      <w:r>
        <w:t> </w:t>
      </w:r>
    </w:p>
    <w:p w:rsidR="00FA6157" w:rsidRDefault="00FA6157">
      <w:pPr>
        <w:pStyle w:val="newncpi"/>
      </w:pPr>
      <w:r>
        <w:t>В рамках взятых обязательств Беларусь сохранит приверженность положениям Парижского соглашения к Рамочной конвенции ООН об изменении климата.</w:t>
      </w:r>
    </w:p>
    <w:p w:rsidR="00FA6157" w:rsidRDefault="00FA6157">
      <w:pPr>
        <w:pStyle w:val="newncpi"/>
      </w:pPr>
      <w:r>
        <w:lastRenderedPageBreak/>
        <w:t>Акцент будет сделан на внедрение инструментов поддержки «зеленой» экономики. Будет активизирована работа по формированию национальной системы углеродного регулирования, привлечению «зеленых» инвестиций, развитию экоинноваций и созданию «зеленых» рабочих мест.</w:t>
      </w:r>
    </w:p>
    <w:p w:rsidR="00FA6157" w:rsidRDefault="00FA6157">
      <w:pPr>
        <w:pStyle w:val="newncpi"/>
      </w:pPr>
      <w:r>
        <w:t>Намечено создать условия для формирования экономики замкнутого цикла (экодизайн, экологическая сертификация и маркировка продукции), внедрять циркулярные бизнес-модели, ресурсоэффективные безотходные технологии и другое.</w:t>
      </w:r>
    </w:p>
    <w:p w:rsidR="00FA6157" w:rsidRDefault="00FA6157">
      <w:pPr>
        <w:pStyle w:val="newncpi"/>
      </w:pPr>
      <w:r>
        <w:t>Накопления опасных отходов производства запланировано уменьшить до 7888 тыс. тонн в 2025 году.</w:t>
      </w:r>
    </w:p>
    <w:p w:rsidR="00FA6157" w:rsidRDefault="00FA6157">
      <w:pPr>
        <w:pStyle w:val="newncpi"/>
      </w:pPr>
      <w:r>
        <w:t>В текущем пятилетии будет разработана Стратегия развития экономики замкнутого цикла до 2035 года.</w:t>
      </w:r>
    </w:p>
    <w:p w:rsidR="00FA6157" w:rsidRDefault="00FA6157">
      <w:pPr>
        <w:pStyle w:val="newncpi"/>
      </w:pPr>
      <w:r>
        <w:t xml:space="preserve">В области </w:t>
      </w:r>
      <w:r>
        <w:rPr>
          <w:b/>
          <w:bCs/>
          <w:i/>
          <w:iCs/>
        </w:rPr>
        <w:t>охраны атмосферного воздуха</w:t>
      </w:r>
      <w:r>
        <w:t xml:space="preserve"> будет усовершенствована система наблюдений за его состоянием и источниками его загрязнения с помощью интернет-технологий и смарт-оборудования.</w:t>
      </w:r>
    </w:p>
    <w:p w:rsidR="00FA6157" w:rsidRDefault="00FA6157">
      <w:pPr>
        <w:pStyle w:val="newncpi"/>
      </w:pPr>
      <w:r>
        <w:t>К концу 2025 года планируется снизить выбросы парниковых газов на 33 процента от уровня 1990 года.</w:t>
      </w:r>
    </w:p>
    <w:p w:rsidR="00FA6157" w:rsidRDefault="00FA6157">
      <w:pPr>
        <w:pStyle w:val="newncpi"/>
      </w:pPr>
      <w:r>
        <w:t xml:space="preserve">В сфере рационального использования </w:t>
      </w:r>
      <w:r>
        <w:rPr>
          <w:b/>
          <w:bCs/>
          <w:i/>
          <w:iCs/>
        </w:rPr>
        <w:t>водных ресурсов</w:t>
      </w:r>
      <w:r>
        <w:t xml:space="preserve"> предусматривается разработать стратегию управления водными ресурсами в условиях изменения климата. Одна из главных задач – снизить объемы сброса недостаточно очищенных сточных вод в поверхностные водоемы за счет строительства и реконструкции очистных сооружений – 30 процентов от уровня 2015 года (до 3,99 млн. куб. метров в 2025 году).</w:t>
      </w:r>
    </w:p>
    <w:p w:rsidR="00FA6157" w:rsidRDefault="00FA6157">
      <w:pPr>
        <w:pStyle w:val="newncpi"/>
      </w:pPr>
      <w:r>
        <w:t>В ряде областей будут проведены работы по обводнению территорий, сокращению использования минеральных удобрений и других агрохимикатов на сельскохозяйственных землях, расположенных вблизи поверхностных водных объектов.</w:t>
      </w:r>
    </w:p>
    <w:p w:rsidR="00FA6157" w:rsidRDefault="00FA6157">
      <w:pPr>
        <w:pStyle w:val="newncpi"/>
      </w:pPr>
      <w:r>
        <w:t xml:space="preserve">В целях сохранения и устойчивого использования </w:t>
      </w:r>
      <w:r>
        <w:rPr>
          <w:b/>
          <w:bCs/>
          <w:i/>
          <w:iCs/>
        </w:rPr>
        <w:t>биологического и ландшафтного разнообразия</w:t>
      </w:r>
      <w:r>
        <w:t>, восстановления нарушенных экологических систем намечены меры по развитию системы особо охраняемых природных территорий и экологического туризма, экологической реабилитации торфяников. Площади торфяников, на которых проведены работы по экологической реабилитации, будут увеличены до 69 тыс. гектаров в 2025 году.</w:t>
      </w:r>
    </w:p>
    <w:p w:rsidR="00FA6157" w:rsidRDefault="00FA6157">
      <w:pPr>
        <w:pStyle w:val="newncpi"/>
      </w:pPr>
      <w:r>
        <w:t>Планируется разработать Национальный план действий по сохранению и устойчивому использованию биологического разнообразия на 2021–2025 годы, Стратегию по сохранению, восстановлению ценных природных комплексов и объектов в количестве, достаточном для их рационального (устойчивого) использования, вовлечения в хозяйственный оборот и получения доходов в бюджет. В Стратегии будут предусмотрены конкретные мероприятия, направленные на рост популяций ценных и ресурсозначимых видов животных и растений, численность которых в настоящее время снижена, а также включенных в Красную книгу Республики Беларусь.</w:t>
      </w:r>
    </w:p>
    <w:p w:rsidR="00FA6157" w:rsidRDefault="00FA6157">
      <w:pPr>
        <w:pStyle w:val="newncpi"/>
      </w:pPr>
      <w:r>
        <w:t>Инструментом выполнения поставленных задач станет реализация Государственной программы «Охрана окружающей среды и устойчивое использование природных ресурсов» на 2021–2025 годы.</w:t>
      </w:r>
    </w:p>
    <w:p w:rsidR="00FA6157" w:rsidRDefault="00FA6157">
      <w:pPr>
        <w:pStyle w:val="chapter"/>
      </w:pPr>
      <w:r>
        <w:t xml:space="preserve">ГЛАВА 10 </w:t>
      </w:r>
      <w:r>
        <w:br/>
        <w:t xml:space="preserve">ФОРМИРОВАНИЕ БЛАГОПРИЯТНОЙ ИНСТИТУЦИОНАЛЬНОЙ СРЕДЫ </w:t>
      </w:r>
    </w:p>
    <w:p w:rsidR="00FA6157" w:rsidRDefault="00FA6157">
      <w:pPr>
        <w:pStyle w:val="underpoint"/>
      </w:pPr>
      <w:r>
        <w:rPr>
          <w:b/>
          <w:bCs/>
        </w:rPr>
        <w:t>10.1. Инвестиционная политика</w:t>
      </w:r>
    </w:p>
    <w:p w:rsidR="00FA6157" w:rsidRDefault="00FA6157">
      <w:pPr>
        <w:pStyle w:val="newncpi"/>
      </w:pPr>
      <w:r>
        <w:t> </w:t>
      </w:r>
    </w:p>
    <w:p w:rsidR="00FA6157" w:rsidRDefault="00FA6157">
      <w:pPr>
        <w:pStyle w:val="newncpi"/>
      </w:pPr>
      <w:r>
        <w:t>В новом пятилетии ставка сделана на запуск нового инвестиционного цикла. Инвестиционная политика будет направлена на наращивание объема инвестиционных вложений и повышение эффективности их использования путем приоритетного направления средств на создание новых высокотехнологичных производств и региональную инфраструктуру.</w:t>
      </w:r>
    </w:p>
    <w:p w:rsidR="00FA6157" w:rsidRDefault="00FA6157">
      <w:pPr>
        <w:pStyle w:val="newncpi"/>
      </w:pPr>
      <w:r>
        <w:lastRenderedPageBreak/>
        <w:t>Предстоит усовершенствовать механизмы привлечения инвестиций, расширить источники их финансирования, в том числе сформировать инструменты использования «длинных» денег через развитие небанковских сегментов финансового рынка.</w:t>
      </w:r>
    </w:p>
    <w:p w:rsidR="00FA6157" w:rsidRDefault="00FA6157">
      <w:pPr>
        <w:pStyle w:val="newncpi"/>
      </w:pPr>
      <w:r>
        <w:t xml:space="preserve">В целях </w:t>
      </w:r>
      <w:r>
        <w:rPr>
          <w:b/>
          <w:bCs/>
        </w:rPr>
        <w:t>улучшения условий привлечения инвестиций</w:t>
      </w:r>
      <w:r>
        <w:t xml:space="preserve"> предстоит увязать предоставление льгот и преференций с эффективностью инвестиционного проекта, его соответствием приоритетам развития и специализации территории размещения.</w:t>
      </w:r>
    </w:p>
    <w:p w:rsidR="00FA6157" w:rsidRDefault="00FA6157">
      <w:pPr>
        <w:pStyle w:val="newncpi"/>
      </w:pPr>
      <w:r>
        <w:t>Для стимулирования вложения инвестиций в создание новых производств предусматривается закрепление особого правового режима специальных инвестиционных договоров с гарантией выкупа государством части продукции.</w:t>
      </w:r>
    </w:p>
    <w:p w:rsidR="00FA6157" w:rsidRDefault="00FA6157">
      <w:pPr>
        <w:pStyle w:val="newncpi"/>
      </w:pPr>
      <w:r>
        <w:t>Продолжится работа по снижению рисков и обеспечению дополнительных гарантий защиты прав добросовестного бизнеса и инвесторов, включая законодательное закрепление «стабилизационной оговорки».</w:t>
      </w:r>
    </w:p>
    <w:p w:rsidR="00FA6157" w:rsidRDefault="00FA6157">
      <w:pPr>
        <w:pStyle w:val="newncpi"/>
      </w:pPr>
      <w:r>
        <w:t>Предстоит упростить условия предоставления земельных участков под создание новых предприятий и производств в районах.</w:t>
      </w:r>
    </w:p>
    <w:p w:rsidR="00FA6157" w:rsidRDefault="00FA6157">
      <w:pPr>
        <w:pStyle w:val="newncpi"/>
      </w:pPr>
      <w:r>
        <w:t>Будут оптимизированы условия деятельности в рамках свободных (особых) экономических зон.</w:t>
      </w:r>
    </w:p>
    <w:p w:rsidR="00FA6157" w:rsidRDefault="00FA6157">
      <w:pPr>
        <w:pStyle w:val="newncpi"/>
      </w:pPr>
      <w:r>
        <w:t>Намечено усовершенствовать порядок подготовки проектов государственно-частного партнерства с учетом их масштаба и объема бюджетного финансирования.</w:t>
      </w:r>
    </w:p>
    <w:p w:rsidR="00FA6157" w:rsidRDefault="00FA6157">
      <w:pPr>
        <w:pStyle w:val="newncpi"/>
      </w:pPr>
      <w:r>
        <w:rPr>
          <w:b/>
          <w:bCs/>
        </w:rPr>
        <w:t xml:space="preserve">Расширение источников финансирования инвестиционной деятельности </w:t>
      </w:r>
      <w:r>
        <w:t>предполагает увеличение объемов собственных средств организаций до 44 процентов в 2025 году за счет решения долговых проблем в государственном секторе, повышения эффективности управления государственными активами и развития корпоративного управления. Запланировано внедрение проектного финансирования.</w:t>
      </w:r>
    </w:p>
    <w:p w:rsidR="00FA6157" w:rsidRDefault="00FA6157">
      <w:pPr>
        <w:pStyle w:val="newncpi"/>
      </w:pPr>
      <w:r>
        <w:t>Продолжится работа по расширению использования ресурсов международных финансовых организаций как бюджетозамещающих для финансирования инфраструктуры.</w:t>
      </w:r>
    </w:p>
    <w:p w:rsidR="00FA6157" w:rsidRDefault="00FA6157">
      <w:pPr>
        <w:pStyle w:val="newncpi"/>
      </w:pPr>
      <w:r>
        <w:t>Будут созданы условия для расширения объемов финансовых ресурсов, привлекаемых для реализации инвестиционных проектов, с учетом их эффективности и окупаемости, а также финансовой устойчивости и платежеспособности заемщиков.</w:t>
      </w:r>
    </w:p>
    <w:p w:rsidR="00FA6157" w:rsidRDefault="00FA6157">
      <w:pPr>
        <w:pStyle w:val="newncpi"/>
      </w:pPr>
      <w:r>
        <w:t xml:space="preserve">Формирование </w:t>
      </w:r>
      <w:r>
        <w:rPr>
          <w:b/>
          <w:bCs/>
          <w:i/>
          <w:iCs/>
        </w:rPr>
        <w:t>сегмента «длинных» денег</w:t>
      </w:r>
      <w:r>
        <w:t xml:space="preserve"> потребует развития небанковских институтов финансового рынка. Для этого предстоит развить рынок ценных бумаг, активизировать продажи на бирже государственных пакетов акций. Запланирована отмена преимущественного права облисполкомов и Минского горисполкома на покупку акций. Продолжится совершенствование механизмов использования облигаций в качестве инструмента финансирования хозяйственной деятельности эмитентов.</w:t>
      </w:r>
    </w:p>
    <w:p w:rsidR="00FA6157" w:rsidRDefault="00FA6157">
      <w:pPr>
        <w:pStyle w:val="newncpi"/>
      </w:pPr>
      <w:r>
        <w:t>Предполагается либерализировать страховую деятельность, обеспечить равные условия функционирования для страховых организаций всех форм собственности. Для этого предусматривается:</w:t>
      </w:r>
    </w:p>
    <w:p w:rsidR="00FA6157" w:rsidRDefault="00FA6157">
      <w:pPr>
        <w:pStyle w:val="newncpi"/>
      </w:pPr>
      <w:proofErr w:type="gramStart"/>
      <w:r>
        <w:t>снять</w:t>
      </w:r>
      <w:proofErr w:type="gramEnd"/>
      <w:r>
        <w:t xml:space="preserve"> ограничения по страхованию имущественных интересов государственных юридических лиц только в государственных страховых организациях;</w:t>
      </w:r>
    </w:p>
    <w:p w:rsidR="00FA6157" w:rsidRDefault="00FA6157">
      <w:pPr>
        <w:pStyle w:val="newncpi"/>
      </w:pPr>
      <w:proofErr w:type="gramStart"/>
      <w:r>
        <w:t>предоставить</w:t>
      </w:r>
      <w:proofErr w:type="gramEnd"/>
      <w:r>
        <w:t xml:space="preserve"> право страховым организациям негосударственной формы собственности осуществлять обязательное страхование.</w:t>
      </w:r>
    </w:p>
    <w:p w:rsidR="00FA6157" w:rsidRDefault="00FA6157">
      <w:pPr>
        <w:pStyle w:val="newncpi"/>
      </w:pPr>
      <w:r>
        <w:t>Новый импульс получит система добровольного страхования жизни граждан и дополнительной накопительной пенсии.</w:t>
      </w:r>
    </w:p>
    <w:p w:rsidR="00FA6157" w:rsidRDefault="00FA6157">
      <w:pPr>
        <w:pStyle w:val="newncpi"/>
      </w:pPr>
      <w:r>
        <w:t>Предполагается реализовать более 50 крупных инвестиционных проектов по созданию новых предприятий и производств, среди них в энергетике – завершение второй очереди БелАЭС, в горнодобывающей промышленности – Петриковский горно-обогатительный комбинат, ИООО «Славкалий», в агропромышленном комплексе – Белорусская национальная биотехнологическая корпорация с освоением производства аминокислот и витаминов, в мебельном производстве – строительство завода компанией «Polipol» в Ивацевичском районе Брестской области.</w:t>
      </w:r>
    </w:p>
    <w:p w:rsidR="00FA6157" w:rsidRDefault="00FA6157">
      <w:pPr>
        <w:pStyle w:val="newncpi"/>
      </w:pPr>
      <w:r>
        <w:t xml:space="preserve">Среди </w:t>
      </w:r>
      <w:r>
        <w:rPr>
          <w:b/>
          <w:bCs/>
          <w:i/>
          <w:iCs/>
        </w:rPr>
        <w:t>территориальных приоритетов</w:t>
      </w:r>
      <w:r>
        <w:t xml:space="preserve"> определены:</w:t>
      </w:r>
    </w:p>
    <w:p w:rsidR="00FA6157" w:rsidRDefault="00FA6157">
      <w:pPr>
        <w:pStyle w:val="newncpi"/>
      </w:pPr>
      <w:proofErr w:type="gramStart"/>
      <w:r>
        <w:lastRenderedPageBreak/>
        <w:t>в</w:t>
      </w:r>
      <w:proofErr w:type="gramEnd"/>
      <w:r>
        <w:t xml:space="preserve"> областных центрах и г. Минске – создание высокотехнологичных производств, научных и образовательных центров, развитие наукоемких услуг;</w:t>
      </w:r>
    </w:p>
    <w:p w:rsidR="00FA6157" w:rsidRDefault="00FA6157">
      <w:pPr>
        <w:pStyle w:val="newncpi"/>
      </w:pPr>
      <w:proofErr w:type="gramStart"/>
      <w:r>
        <w:t>в</w:t>
      </w:r>
      <w:proofErr w:type="gramEnd"/>
      <w:r>
        <w:t xml:space="preserve"> 11 районах и городах с численностью населения 80 тыс. человек и более, средних городах, имеющих значимый промышленный потенциал, – создание новых предприятий и производств в кооперации с действующими крупными производителями и их сервисными центрами;</w:t>
      </w:r>
    </w:p>
    <w:p w:rsidR="00FA6157" w:rsidRDefault="00FA6157">
      <w:pPr>
        <w:pStyle w:val="newncpi"/>
      </w:pPr>
      <w:proofErr w:type="gramStart"/>
      <w:r>
        <w:t>в</w:t>
      </w:r>
      <w:proofErr w:type="gramEnd"/>
      <w:r>
        <w:t xml:space="preserve"> аграрных и туристических районах – реализация проектов в сельском, лесном и рыбном хозяйствах, а также по глубокой переработке местного сырья, в сферах туризма, общественного питания, народных промыслов.</w:t>
      </w:r>
    </w:p>
    <w:p w:rsidR="00FA6157" w:rsidRDefault="00FA6157">
      <w:pPr>
        <w:pStyle w:val="newncpi"/>
      </w:pPr>
      <w:r>
        <w:t>Центром притяжения инвестиций и новых технологий станут территории с преференциальными режимами.</w:t>
      </w:r>
    </w:p>
    <w:p w:rsidR="00FA6157" w:rsidRDefault="00FA6157">
      <w:pPr>
        <w:pStyle w:val="newncpi"/>
      </w:pPr>
      <w:r>
        <w:t>Запланированные меры позволят увеличить долю инвестиций в основной капитал до 22–23 процентов к ВВП в 2025 году с устойчивой положительной отдачей от вложенных средств.</w:t>
      </w:r>
    </w:p>
    <w:p w:rsidR="00FA6157" w:rsidRDefault="00FA6157">
      <w:pPr>
        <w:pStyle w:val="newncpi"/>
      </w:pPr>
      <w:r>
        <w:t>Инструментом выполнения поставленных задач станет реализация государственных и отраслевых программ на 2021–2025 годы, Национального инфраструктурного плана Республики Беларусь на 2021–2025 годы, программ социально-экономического развития административно-территориальных единиц на 2021–2025 годы, плана по улучшению инвестиционного климата.</w:t>
      </w:r>
    </w:p>
    <w:p w:rsidR="00FA6157" w:rsidRDefault="00FA6157">
      <w:pPr>
        <w:pStyle w:val="newncpi"/>
      </w:pPr>
      <w:r>
        <w:t> </w:t>
      </w:r>
    </w:p>
    <w:p w:rsidR="00FA6157" w:rsidRDefault="00FA6157">
      <w:pPr>
        <w:pStyle w:val="underpoint"/>
      </w:pPr>
      <w:r>
        <w:rPr>
          <w:b/>
          <w:bCs/>
        </w:rPr>
        <w:t>10.2. Современная экосистема инноваций</w:t>
      </w:r>
    </w:p>
    <w:p w:rsidR="00FA6157" w:rsidRDefault="00FA6157">
      <w:pPr>
        <w:pStyle w:val="newncpi"/>
      </w:pPr>
      <w:r>
        <w:t> </w:t>
      </w:r>
    </w:p>
    <w:p w:rsidR="00FA6157" w:rsidRDefault="00FA6157">
      <w:pPr>
        <w:pStyle w:val="newncpi"/>
      </w:pPr>
      <w:r>
        <w:t>Развитие научно-инновационной сферы будет нацелено на достижение уровня инновационного развития стран – лидеров Восточной Европы на основе реализации интеллектуального потенциала белорусской нации за счет совершенствования условий осуществления и стимулирования научно-технической и инновационной деятельности, ускоренного развития инновационной инфраструктуры. Эта задача предполагает повышение наукоемкости ВВП до уровня не менее 1 процента.</w:t>
      </w:r>
    </w:p>
    <w:p w:rsidR="00FA6157" w:rsidRDefault="00FA6157">
      <w:pPr>
        <w:pStyle w:val="newncpi"/>
      </w:pPr>
      <w:r>
        <w:t xml:space="preserve">Предстоит </w:t>
      </w:r>
      <w:r>
        <w:rPr>
          <w:b/>
          <w:bCs/>
          <w:i/>
          <w:iCs/>
        </w:rPr>
        <w:t xml:space="preserve">усовершенствовать систему финансирования научно-технической и инновационной деятельности. </w:t>
      </w:r>
    </w:p>
    <w:p w:rsidR="00FA6157" w:rsidRDefault="00FA6157">
      <w:pPr>
        <w:pStyle w:val="newncpi"/>
      </w:pPr>
      <w:r>
        <w:t>Предусматриваются:</w:t>
      </w:r>
    </w:p>
    <w:p w:rsidR="00FA6157" w:rsidRDefault="00FA6157">
      <w:pPr>
        <w:pStyle w:val="newncpi"/>
      </w:pPr>
      <w:proofErr w:type="gramStart"/>
      <w:r>
        <w:t>реализация</w:t>
      </w:r>
      <w:proofErr w:type="gramEnd"/>
      <w:r>
        <w:t xml:space="preserve"> и финансирование комплексных проектов, имеющих определяющее значение для инновационного развития Республики Беларусь («проекты будущего»);</w:t>
      </w:r>
    </w:p>
    <w:p w:rsidR="00FA6157" w:rsidRDefault="00FA6157">
      <w:pPr>
        <w:pStyle w:val="newncpi"/>
      </w:pPr>
      <w:proofErr w:type="gramStart"/>
      <w:r>
        <w:t>расширение</w:t>
      </w:r>
      <w:proofErr w:type="gramEnd"/>
      <w:r>
        <w:t xml:space="preserve"> косвенных инструментов поддержки – налоговые стимулы, таможенные преференции и иные источники для реализации инновационных проектов, в том числе «проектов будущего»;</w:t>
      </w:r>
    </w:p>
    <w:p w:rsidR="00FA6157" w:rsidRDefault="00FA6157">
      <w:pPr>
        <w:pStyle w:val="newncpi"/>
      </w:pPr>
      <w:proofErr w:type="gramStart"/>
      <w:r>
        <w:t>предоставление</w:t>
      </w:r>
      <w:proofErr w:type="gramEnd"/>
      <w:r>
        <w:t xml:space="preserve"> права закупки инновационной продукции из одного источника, что позволит на начальном этапе обеспечить гарантированный сбыт;</w:t>
      </w:r>
    </w:p>
    <w:p w:rsidR="00FA6157" w:rsidRDefault="00FA6157">
      <w:pPr>
        <w:pStyle w:val="newncpi"/>
      </w:pPr>
      <w:proofErr w:type="gramStart"/>
      <w:r>
        <w:t>расширение</w:t>
      </w:r>
      <w:proofErr w:type="gramEnd"/>
      <w:r>
        <w:t xml:space="preserve"> практики предоставления инновационных ваучеров и грантов субъектам малого предпринимательства.</w:t>
      </w:r>
    </w:p>
    <w:p w:rsidR="00FA6157" w:rsidRDefault="00FA6157">
      <w:pPr>
        <w:pStyle w:val="newncpi"/>
      </w:pPr>
      <w:r>
        <w:t xml:space="preserve">Для </w:t>
      </w:r>
      <w:r>
        <w:rPr>
          <w:b/>
          <w:bCs/>
          <w:i/>
          <w:iCs/>
        </w:rPr>
        <w:t>формирования полноценной конкурентной среды в научно-инновационной сфере</w:t>
      </w:r>
      <w:r>
        <w:t xml:space="preserve"> планируется обеспечить равный доступ к финансовым ресурсам субъектам государственного и частного секторов.</w:t>
      </w:r>
    </w:p>
    <w:p w:rsidR="00FA6157" w:rsidRDefault="00FA6157">
      <w:pPr>
        <w:pStyle w:val="newncpi"/>
      </w:pPr>
      <w:r>
        <w:t>Ученые – разработчики научно-технической продукции, создаваемой с привлечением бюджетных средств, получат право на разумный риск. На базе научных организаций и учреждений высшего образования будут создаваться спин-офф-компании, центры трансфера технологий и инжиниринговые структуры для коммерциализации результатов научно-технической деятельности.</w:t>
      </w:r>
    </w:p>
    <w:p w:rsidR="00FA6157" w:rsidRDefault="00FA6157">
      <w:pPr>
        <w:pStyle w:val="newncpi"/>
      </w:pPr>
      <w:r>
        <w:t xml:space="preserve">Будет создана институциональная среда для поддержки коммерциализации объектов интеллектуальной собственности, сформирован полноценный рынок интеллектуальной собственности. Намечено усовершенствовать порядок передачи прав на результаты </w:t>
      </w:r>
      <w:r>
        <w:lastRenderedPageBreak/>
        <w:t>интеллектуальной деятельности, созданные за счет бюджетных средств, в целях их ускоренного введения в хозяйственный оборот.</w:t>
      </w:r>
    </w:p>
    <w:p w:rsidR="00FA6157" w:rsidRDefault="00FA6157">
      <w:pPr>
        <w:pStyle w:val="newncpi"/>
      </w:pPr>
      <w:r>
        <w:t>Системная интеграция научно-образовательной сферы и организаций реального сектора экономики будет обеспечена на основе кластерной модели развития. Это потребует формирования необходимой нормативной правовой базы в области кластерного развития и системы господдержки комплексных (кластерных) проектов.</w:t>
      </w:r>
    </w:p>
    <w:p w:rsidR="00FA6157" w:rsidRDefault="00FA6157">
      <w:pPr>
        <w:pStyle w:val="newncpi"/>
      </w:pPr>
      <w:r>
        <w:t>Будет активизирована работа по развитию сферы изобретательства и инженерно-технического творчества, предстоит реализовать меры по стимулированию патентной активности.</w:t>
      </w:r>
    </w:p>
    <w:p w:rsidR="00FA6157" w:rsidRDefault="00FA6157">
      <w:pPr>
        <w:pStyle w:val="newncpi"/>
      </w:pPr>
      <w:r>
        <w:t xml:space="preserve">Ускорение инновационного развития невозможно без создания </w:t>
      </w:r>
      <w:r>
        <w:rPr>
          <w:b/>
          <w:bCs/>
          <w:i/>
          <w:iCs/>
        </w:rPr>
        <w:t>современной инфраструктуры</w:t>
      </w:r>
      <w:r>
        <w:rPr>
          <w:b/>
          <w:bCs/>
        </w:rPr>
        <w:t xml:space="preserve"> </w:t>
      </w:r>
      <w:r>
        <w:rPr>
          <w:b/>
          <w:bCs/>
          <w:i/>
          <w:iCs/>
        </w:rPr>
        <w:t xml:space="preserve">научной, научно-технической и инновационной деятельности. </w:t>
      </w:r>
    </w:p>
    <w:p w:rsidR="00FA6157" w:rsidRDefault="00FA6157">
      <w:pPr>
        <w:pStyle w:val="newncpi"/>
      </w:pPr>
      <w:r>
        <w:t>Продолжится работа по развитию материально-технической базы научных организаций и учреждений образования, заводских исследовательских центров, отраслевых лабораторий, опытных производств.</w:t>
      </w:r>
    </w:p>
    <w:p w:rsidR="00FA6157" w:rsidRDefault="00FA6157">
      <w:pPr>
        <w:pStyle w:val="newncpi"/>
      </w:pPr>
      <w:r>
        <w:t>Предполагается развитие ГУ «Администрация Китайско-Белорусского индустриального парка «Великий камень» в качестве элемента инфраструктуры научно-технической и инновационной деятельности, Парка высоких технологий – в качестве площадки для создания сети ресурсных центров по комплексной поддержке инженерно-технического творчества, изобретательства, стартап-движения и малого инновационного предпринимательства в регионах.</w:t>
      </w:r>
    </w:p>
    <w:p w:rsidR="00FA6157" w:rsidRDefault="00FA6157">
      <w:pPr>
        <w:pStyle w:val="newncpi"/>
      </w:pPr>
      <w:r>
        <w:t>Намечено создать научно-технологические парки (их филиалы) в крупных районных центрах, сформировать на их базе для начинающих инновационных предпринимателей технологическую инфраструктуру (центры прототипирования, коллективного пользования и другое). Это позволит привлечь в научно-технологические парки более 200 стартапов. Общее количество технопарков увеличится до 21 к концу 2025 года, количество их резидентов – до 250.</w:t>
      </w:r>
    </w:p>
    <w:p w:rsidR="00FA6157" w:rsidRDefault="00FA6157">
      <w:pPr>
        <w:pStyle w:val="newncpi"/>
      </w:pPr>
      <w:r>
        <w:t>Планируется внедрить венчурную экосистему (инкубаторы, акселераторы стартапов, фонды разных стадий) с учетом лучших международных практик и принципов государственно-частного партнерства.</w:t>
      </w:r>
    </w:p>
    <w:p w:rsidR="00FA6157" w:rsidRDefault="00FA6157">
      <w:pPr>
        <w:pStyle w:val="newncpi"/>
      </w:pPr>
      <w:r>
        <w:t>Предстоит реализовать комплексные «проекты будущего»:</w:t>
      </w:r>
    </w:p>
    <w:p w:rsidR="00FA6157" w:rsidRDefault="00FA6157">
      <w:pPr>
        <w:pStyle w:val="newncpi"/>
      </w:pPr>
      <w:r>
        <w:rPr>
          <w:i/>
          <w:iCs/>
        </w:rPr>
        <w:t>«Национальный электротранспорт».</w:t>
      </w:r>
      <w:r>
        <w:t xml:space="preserve"> Реализация данного проекта позволит создать в республике новый сектор машиностроительной отрасли – электромобилестроение и будет иметь масштабный мультипликативный эффект для инновационного развития других отраслей (металлургия, электротехника, робототехника, информационные технологии и другие);</w:t>
      </w:r>
    </w:p>
    <w:p w:rsidR="00FA6157" w:rsidRDefault="00FA6157">
      <w:pPr>
        <w:pStyle w:val="newncpi"/>
      </w:pPr>
      <w:r>
        <w:rPr>
          <w:i/>
          <w:iCs/>
        </w:rPr>
        <w:t>«Биотехнологии в агропромышленном комплексе».</w:t>
      </w:r>
      <w:r>
        <w:rPr>
          <w:b/>
          <w:bCs/>
          <w:i/>
          <w:iCs/>
        </w:rPr>
        <w:t xml:space="preserve"> </w:t>
      </w:r>
      <w:r>
        <w:t>Предусматривается создание инновационного научно-образовательного центра биотехнологий в растениеводстве в УО «Белорусская государственная сельскохозяйственная академия», производства витаминов, аминокислот, крахмала и крахмалопродуктов, а также разработка геномных биотехнологий маркерной селекции для растениеводства и животноводства;</w:t>
      </w:r>
    </w:p>
    <w:p w:rsidR="00FA6157" w:rsidRDefault="00FA6157">
      <w:pPr>
        <w:pStyle w:val="newncpi"/>
      </w:pPr>
      <w:r>
        <w:rPr>
          <w:i/>
          <w:iCs/>
        </w:rPr>
        <w:t xml:space="preserve">«Инновационное здравоохранение». </w:t>
      </w:r>
      <w:r>
        <w:t>Запланированы создание центра гибридной кардиохирургии, блока трансплантации костного мозга и стволовых клеток, биофармацевтического производства лекарственных средств на основе рекомбинантных технологий и фракционирования плазмы крови, соответствующего требованиям GMP, а также внедрение в медицинские учреждения современных технологий электронного здравоохранения;</w:t>
      </w:r>
    </w:p>
    <w:p w:rsidR="00FA6157" w:rsidRDefault="00FA6157">
      <w:pPr>
        <w:pStyle w:val="newncpi"/>
      </w:pPr>
      <w:r>
        <w:rPr>
          <w:i/>
          <w:iCs/>
        </w:rPr>
        <w:t>«Биотехнологии для фармацевтики».</w:t>
      </w:r>
      <w:r>
        <w:t xml:space="preserve"> Планируется создание производства лекарственных средств (в том числе на основе моноклональных антител) для лечения вирусных, сердечно-сосудистых, онкологических и других заболеваний, а также пробиотиков и биорегуляторов для контроля патогенных микроорганизмов (включая дезинфекцию) и восстановления микробиоценозов;</w:t>
      </w:r>
    </w:p>
    <w:p w:rsidR="00FA6157" w:rsidRDefault="00FA6157">
      <w:pPr>
        <w:pStyle w:val="newncpi"/>
      </w:pPr>
      <w:r>
        <w:rPr>
          <w:i/>
          <w:iCs/>
        </w:rPr>
        <w:lastRenderedPageBreak/>
        <w:t xml:space="preserve">«Умные города Беларуси». </w:t>
      </w:r>
      <w:r>
        <w:t>Будет создана мультисервисная цифровая платформа «умный город (регион)» для обеспечения комфортной среды проживания, в том числе для решения вопросов безопасности жизнедеятельности, экологии, жилищно-коммунального хозяйства, энергетики, строительства, транспорта и социальной сферы;</w:t>
      </w:r>
    </w:p>
    <w:p w:rsidR="00FA6157" w:rsidRDefault="00FA6157">
      <w:pPr>
        <w:pStyle w:val="newncpi"/>
      </w:pPr>
      <w:r>
        <w:rPr>
          <w:i/>
          <w:iCs/>
        </w:rPr>
        <w:t>«Точное земледелие»</w:t>
      </w:r>
      <w:r>
        <w:t>. Предусматриваются разработка и внедрение в республике единого программно-аппаратного комплекса, обеспечивающего реализацию технологических процессов в растениеводстве с использованием машин и оборудования, оснащенных элементами системы точного земледелия, на основе электронных карт полей.</w:t>
      </w:r>
    </w:p>
    <w:p w:rsidR="00FA6157" w:rsidRDefault="00FA6157">
      <w:pPr>
        <w:pStyle w:val="newncpi"/>
      </w:pPr>
      <w:r>
        <w:t>«Проекты будущего» предполагают создание и развитие новых отраслей, организацию производств с высоким экономическим эффектом, развитие кадрового потенциала (научные и инженерные школы) в области высоких технологий, будут способствовать цифровой трансформации экономики и социальной сферы, повышению качества жизни населения и инвестиционной привлекательности.</w:t>
      </w:r>
    </w:p>
    <w:p w:rsidR="00FA6157" w:rsidRDefault="00FA6157">
      <w:pPr>
        <w:pStyle w:val="newncpi"/>
      </w:pPr>
      <w:r>
        <w:t>Предусмотрено реализовать более 70 инновационных проектов Государственной программы инновационного развития в медицине, фармацевтике, машиностроении, химической промышленности, энергетике, строительстве и агропромышленном комплексе. Совокупный объем инвестиций по «проектам будущего» и инновационным проектам составит более 6 млрд. рублей.</w:t>
      </w:r>
    </w:p>
    <w:p w:rsidR="00FA6157" w:rsidRDefault="00FA6157">
      <w:pPr>
        <w:pStyle w:val="newncpi"/>
      </w:pPr>
      <w:r>
        <w:t>Результатами реализации намеченных мер станут увеличение доли инновационно активных организаций в общем числе организаций обрабатывающей промышленности (более 30 процентов), рост удельного веса отгруженной инновационной продукции в общем объеме отгруженной продукции организаций обрабатывающей промышленности (до 21 процента).</w:t>
      </w:r>
    </w:p>
    <w:p w:rsidR="00FA6157" w:rsidRDefault="00FA6157">
      <w:pPr>
        <w:pStyle w:val="newncpi"/>
      </w:pPr>
      <w:r>
        <w:t>Инструментом выполнения поставленных задач станет реализация государственных программ на 2021–2025 годы: инновационного развития Республики Беларусь, «Наукоемкие технологии и техника», «Цифровое развитие Беларуси», «Научно-инновационная деятельность Национальной академии наук Беларуси», государственных программ научных исследований, государственных научно-технических программ.</w:t>
      </w:r>
    </w:p>
    <w:p w:rsidR="00FA6157" w:rsidRDefault="00FA6157">
      <w:pPr>
        <w:pStyle w:val="newncpi"/>
      </w:pPr>
      <w:r>
        <w:t> </w:t>
      </w:r>
    </w:p>
    <w:p w:rsidR="00FA6157" w:rsidRDefault="00FA6157">
      <w:pPr>
        <w:pStyle w:val="underpoint"/>
      </w:pPr>
      <w:r>
        <w:rPr>
          <w:b/>
          <w:bCs/>
        </w:rPr>
        <w:t>10.3. Финансовая и ценовая стабильность</w:t>
      </w:r>
    </w:p>
    <w:p w:rsidR="00FA6157" w:rsidRDefault="00FA6157">
      <w:pPr>
        <w:pStyle w:val="newncpi"/>
      </w:pPr>
      <w:r>
        <w:t> </w:t>
      </w:r>
    </w:p>
    <w:p w:rsidR="00FA6157" w:rsidRDefault="00FA6157">
      <w:pPr>
        <w:pStyle w:val="newncpi"/>
      </w:pPr>
      <w:r>
        <w:t>Основные задачи денежно-кредитной политики в предстоящем пятилетии – формирование условий для устойчивого экономического развития, обеспечение ценовой и финансовой стабильности, укрепление доверия к национальной валюте.</w:t>
      </w:r>
    </w:p>
    <w:p w:rsidR="00FA6157" w:rsidRDefault="00FA6157">
      <w:pPr>
        <w:pStyle w:val="newncpi"/>
      </w:pPr>
      <w:r>
        <w:t>Приоритет отдан поддержанию низкого уровня инфляции. Это позволит защитить от обесценения заработные платы, пенсии и другие доходы, а также сбережения населения в национальной валюте.</w:t>
      </w:r>
    </w:p>
    <w:p w:rsidR="00FA6157" w:rsidRDefault="00FA6157">
      <w:pPr>
        <w:pStyle w:val="newncpi"/>
      </w:pPr>
      <w:r>
        <w:t>В качестве ориентира низкой инфляции выступает поддержание прироста потребительских цен – 5 процентов. Рост регулируемых цен будет ограничиваться уровнем базовой инфляции, за исключением динамики регулируемых цен в сферах, в которых имеется необходимость ликвидировать сформированные диспропорции (жилищно-коммунальное хозяйство и другие).</w:t>
      </w:r>
    </w:p>
    <w:p w:rsidR="00FA6157" w:rsidRDefault="00FA6157">
      <w:pPr>
        <w:pStyle w:val="newncpi"/>
      </w:pPr>
      <w:r>
        <w:t>Предусматривается:</w:t>
      </w:r>
    </w:p>
    <w:p w:rsidR="00FA6157" w:rsidRDefault="00FA6157">
      <w:pPr>
        <w:pStyle w:val="newncpi"/>
      </w:pPr>
      <w:proofErr w:type="gramStart"/>
      <w:r>
        <w:t>определять</w:t>
      </w:r>
      <w:proofErr w:type="gramEnd"/>
      <w:r>
        <w:t xml:space="preserve"> в рамках важнейших параметров прогноза социально-экономического развития Республики Беларусь на очередной год индикативный показатель прироста потребительских цен на социально значимые товары на уровне ниже индекса потребительских цен;</w:t>
      </w:r>
    </w:p>
    <w:p w:rsidR="00FA6157" w:rsidRDefault="00FA6157">
      <w:pPr>
        <w:pStyle w:val="newncpi"/>
      </w:pPr>
      <w:proofErr w:type="gramStart"/>
      <w:r>
        <w:t>установить</w:t>
      </w:r>
      <w:proofErr w:type="gramEnd"/>
      <w:r>
        <w:t xml:space="preserve"> в качестве индикативного показателя при принятии решений об изменении регулируемых цен (тарифов) на товары и услуги прогнозный уровень базового индекса потребительских цен.</w:t>
      </w:r>
    </w:p>
    <w:p w:rsidR="00FA6157" w:rsidRDefault="00FA6157">
      <w:pPr>
        <w:pStyle w:val="newncpi"/>
      </w:pPr>
      <w:r>
        <w:lastRenderedPageBreak/>
        <w:t>Сохранение финансовой стабильности предполагается за счет надежного и безопасного функционирования участников финансового рынка, повышения устойчивости финансовых институтов и снижения системных рисков.</w:t>
      </w:r>
    </w:p>
    <w:p w:rsidR="00FA6157" w:rsidRDefault="00FA6157">
      <w:pPr>
        <w:pStyle w:val="newncpi"/>
      </w:pPr>
      <w:r>
        <w:t>В целях повышения привлекательности сбережений в национальной валюте и формирования источников для кредитования экономики будет проводиться политика, обеспечивающая поддержание процентных ставок кредитно-депозитного рынка на положительном уровне в реальном выражении. Средние процентные ставки по новым кредитам в национальной валюте к концу 2025 года прогнозируются на уровне 9–11 процентов годовых.</w:t>
      </w:r>
    </w:p>
    <w:p w:rsidR="00FA6157" w:rsidRDefault="00FA6157">
      <w:pPr>
        <w:pStyle w:val="newncpi"/>
      </w:pPr>
      <w:r>
        <w:t>Будет обеспечен контроль над ростом денежного предложения, способствующим сохранению ценовой стабильности, не приводящим к накоплению макроэкономических дисбалансов и достаточным для удовлетворения платежеспособного спроса экономики на деньги.</w:t>
      </w:r>
    </w:p>
    <w:p w:rsidR="00FA6157" w:rsidRDefault="00FA6157">
      <w:pPr>
        <w:pStyle w:val="newncpi"/>
      </w:pPr>
      <w:r>
        <w:t>Продолжится работа по совершенствованию норм законодательства в целях стимулирования и расширения сферы использования безналичных расчетов.</w:t>
      </w:r>
    </w:p>
    <w:p w:rsidR="00FA6157" w:rsidRDefault="00FA6157">
      <w:pPr>
        <w:pStyle w:val="newncpi"/>
      </w:pPr>
      <w:r>
        <w:t>В области курсовой политики продолжится использование механизма гибкого курсообразования, что позволит экономике подстраиваться под изменения внешних условий и сглаживать их влияние.</w:t>
      </w:r>
    </w:p>
    <w:p w:rsidR="00FA6157" w:rsidRDefault="00FA6157">
      <w:pPr>
        <w:pStyle w:val="newncpi"/>
      </w:pPr>
      <w:r>
        <w:t>Международные резервные активы к концу 2025 года составят не менее 2 месяцев импорта с поэтапным улучшением их структуры в части уменьшения долговой составляющей.</w:t>
      </w:r>
    </w:p>
    <w:p w:rsidR="00FA6157" w:rsidRDefault="00FA6157">
      <w:pPr>
        <w:pStyle w:val="newncpi"/>
      </w:pPr>
      <w:r>
        <w:t>Инструментом выполнения названных задач станет реализация</w:t>
      </w:r>
      <w:r>
        <w:rPr>
          <w:b/>
          <w:bCs/>
        </w:rPr>
        <w:t xml:space="preserve"> </w:t>
      </w:r>
      <w:r>
        <w:t>Основных направлений денежно-кредитной политики, утверждаемых на очередной год, Антиинфляционной программы на 2021–2023 годы.</w:t>
      </w:r>
    </w:p>
    <w:p w:rsidR="00FA6157" w:rsidRDefault="00FA6157">
      <w:pPr>
        <w:pStyle w:val="newncpi"/>
      </w:pPr>
      <w:r>
        <w:t> </w:t>
      </w:r>
    </w:p>
    <w:p w:rsidR="00FA6157" w:rsidRDefault="00FA6157">
      <w:pPr>
        <w:pStyle w:val="underpoint"/>
      </w:pPr>
      <w:r>
        <w:rPr>
          <w:b/>
          <w:bCs/>
        </w:rPr>
        <w:t>10.4. Бюджетно-финансовая и налоговая политика</w:t>
      </w:r>
    </w:p>
    <w:p w:rsidR="00FA6157" w:rsidRDefault="00FA6157">
      <w:pPr>
        <w:pStyle w:val="newncpi"/>
      </w:pPr>
      <w:r>
        <w:t> </w:t>
      </w:r>
    </w:p>
    <w:p w:rsidR="00FA6157" w:rsidRDefault="00FA6157">
      <w:pPr>
        <w:pStyle w:val="newncpi"/>
      </w:pPr>
      <w:r>
        <w:t>Бюджетно-финансовая и налоговая политика будет нацелена на обеспечение устойчивости бюджетной системы и сохранение ее социальной направленности, повышение эффективности управления государственными финансами, поддержание оптимального уровня налоговой нагрузки.</w:t>
      </w:r>
    </w:p>
    <w:p w:rsidR="00FA6157" w:rsidRDefault="00FA6157">
      <w:pPr>
        <w:pStyle w:val="newncpi"/>
      </w:pPr>
      <w:r>
        <w:t>Бюджетные средства предусматривается сконцентрировать на социальных расходах, позволяющих обеспечить устойчивый рост заработной платы работников бюджетной сферы, усилить поддержку семей, воспитывающих детей, увеличить финансирование социальных отраслей. Доля расходов на образование, здравоохранение, физическую культуру, спорт, культуру и средства массовой информации, социальную политику в расходах бюджета составит не менее 42 процентов.</w:t>
      </w:r>
    </w:p>
    <w:p w:rsidR="00FA6157" w:rsidRDefault="00FA6157">
      <w:pPr>
        <w:pStyle w:val="newncpi"/>
      </w:pPr>
      <w:r>
        <w:t xml:space="preserve">В части </w:t>
      </w:r>
      <w:r>
        <w:rPr>
          <w:b/>
          <w:bCs/>
          <w:i/>
          <w:iCs/>
        </w:rPr>
        <w:t xml:space="preserve">бюджетно-финансовой политики </w:t>
      </w:r>
      <w:r>
        <w:t>предстоит активизировать работу и развивать потенциал центров по обеспечению деятельности бюджетных организаций в целях оптимизации бюджетных отношений.</w:t>
      </w:r>
    </w:p>
    <w:p w:rsidR="00FA6157" w:rsidRDefault="00FA6157">
      <w:pPr>
        <w:pStyle w:val="newncpi"/>
      </w:pPr>
      <w:r>
        <w:t>Общий объем расходов бюджета по отношению к ВВП планируется на достаточном для обеспечения государственных гарантий уровне – 26–29 процентов. Предстоит нарастить объем капитальных расходов до 7–9 процентов от ВВП.</w:t>
      </w:r>
    </w:p>
    <w:p w:rsidR="00FA6157" w:rsidRDefault="00FA6157">
      <w:pPr>
        <w:pStyle w:val="newncpi"/>
      </w:pPr>
      <w:r>
        <w:t>Расширится применение программно-целевого бюджетирования в различных отраслях экономики и сферах деятельности с сохранением охвата расходов бюджета государственными программами на уровне не менее 65 процентов. Предусматривается разработка механизма автоматизации процесса формирования и мониторинга выполнения государственных программ.</w:t>
      </w:r>
    </w:p>
    <w:p w:rsidR="00FA6157" w:rsidRDefault="00FA6157">
      <w:pPr>
        <w:pStyle w:val="newncpi"/>
      </w:pPr>
      <w:r>
        <w:t xml:space="preserve">Поэтапно будут внедрены нормативные методы бюджетного планирования в соответствии с принципом «деньги следуют за потребителем бюджетной услуги». Это расширит права руководителей бюджетных организаций и повысит эффективность </w:t>
      </w:r>
      <w:r>
        <w:lastRenderedPageBreak/>
        <w:t>использования бюджетных средств. Введение нормативов расходов на одного потребителя услуги позволит также оптимизировать численность занятых в бюджетной сфере.</w:t>
      </w:r>
    </w:p>
    <w:p w:rsidR="00FA6157" w:rsidRDefault="00FA6157">
      <w:pPr>
        <w:pStyle w:val="newncpi"/>
      </w:pPr>
      <w:r>
        <w:t>Для</w:t>
      </w:r>
      <w:r>
        <w:rPr>
          <w:b/>
          <w:bCs/>
          <w:i/>
          <w:iCs/>
        </w:rPr>
        <w:t xml:space="preserve"> совершенствования государственной поддержки реального сектора экономики </w:t>
      </w:r>
      <w:r>
        <w:t>предусмотрено</w:t>
      </w:r>
      <w:r>
        <w:rPr>
          <w:b/>
          <w:bCs/>
          <w:i/>
          <w:iCs/>
        </w:rPr>
        <w:t xml:space="preserve"> </w:t>
      </w:r>
      <w:r>
        <w:t>реализовать комплекс мер по финансовому оздоровлению и снижению задолженности организаций, возврату в бюджет ранее оказанной им финансовой поддержки, в том числе за счет использования механизмов и потенциала ОАО «Агентство по управлению активами».</w:t>
      </w:r>
    </w:p>
    <w:p w:rsidR="00FA6157" w:rsidRDefault="00FA6157">
      <w:pPr>
        <w:pStyle w:val="newncpi"/>
      </w:pPr>
      <w:r>
        <w:t>В целях расширения ресурсной базы для проведения активных операций планируется консолидировать на едином казначейском счете внебюджетные средства наравне с бюджетными.</w:t>
      </w:r>
    </w:p>
    <w:p w:rsidR="00FA6157" w:rsidRDefault="00FA6157">
      <w:pPr>
        <w:pStyle w:val="newncpi"/>
      </w:pPr>
      <w:r>
        <w:t>Поддержание</w:t>
      </w:r>
      <w:r>
        <w:rPr>
          <w:b/>
          <w:bCs/>
          <w:i/>
          <w:iCs/>
        </w:rPr>
        <w:t xml:space="preserve"> долговой устойчивости на безопасном уровне</w:t>
      </w:r>
      <w:r>
        <w:t xml:space="preserve"> будет обеспечено за счет ограничения государственных заимствований и улучшения структуры долгового портфеля, снижения уровня его рисков. Предстоит развить рынок государственных облигаций, номинированных в национальной валюте. Государственный долг в 2021–2025 годах составит не более 40 процентов к ВВП.</w:t>
      </w:r>
    </w:p>
    <w:p w:rsidR="00FA6157" w:rsidRDefault="00FA6157">
      <w:pPr>
        <w:pStyle w:val="newncpi"/>
      </w:pPr>
      <w:r>
        <w:rPr>
          <w:b/>
          <w:bCs/>
          <w:i/>
          <w:iCs/>
        </w:rPr>
        <w:t xml:space="preserve">Налоговая политика </w:t>
      </w:r>
      <w:r>
        <w:t>ориентирована на стимулирование экономического роста, упрощение налоговой системы, повышение самостоятельности местных бюджетов для комплексного развития регионов.</w:t>
      </w:r>
    </w:p>
    <w:p w:rsidR="00FA6157" w:rsidRDefault="00FA6157">
      <w:pPr>
        <w:pStyle w:val="newncpi"/>
      </w:pPr>
      <w:r>
        <w:t>Консолидация доходов бюджета предусматривается за счет внутренних резервов налоговой системы без введения новых налогов. Планируется усилить роль косвенного налогообложения, в том числе за счет отмены налоговых льгот по НДС и увеличения ставок акцизов с учетом принятых обязательств в рамках ЕАЭС.</w:t>
      </w:r>
    </w:p>
    <w:p w:rsidR="00FA6157" w:rsidRDefault="00FA6157">
      <w:pPr>
        <w:pStyle w:val="newncpi"/>
      </w:pPr>
      <w:r>
        <w:t>Продолжится оптимизация налоговых льгот, включая их отмену в случае неэффективности.</w:t>
      </w:r>
    </w:p>
    <w:p w:rsidR="00FA6157" w:rsidRDefault="00FA6157">
      <w:pPr>
        <w:pStyle w:val="newncpi"/>
      </w:pPr>
      <w:r>
        <w:t>В рамках совершенствования налоговой системы предстоит:</w:t>
      </w:r>
    </w:p>
    <w:p w:rsidR="00FA6157" w:rsidRDefault="00FA6157">
      <w:pPr>
        <w:pStyle w:val="newncpi"/>
      </w:pPr>
      <w:proofErr w:type="gramStart"/>
      <w:r>
        <w:t>модернизировать</w:t>
      </w:r>
      <w:proofErr w:type="gramEnd"/>
      <w:r>
        <w:t xml:space="preserve"> систему льгот и преференций, действующих на отдельных территориях республики, за счет установления единых подходов к ее функционированию с расширением прав местных органов власти по установлению пониженных ставок основных налогов на конкретных территориях;</w:t>
      </w:r>
    </w:p>
    <w:p w:rsidR="00FA6157" w:rsidRDefault="00FA6157">
      <w:pPr>
        <w:pStyle w:val="newncpi"/>
      </w:pPr>
      <w:proofErr w:type="gramStart"/>
      <w:r>
        <w:t>усовершенствовать</w:t>
      </w:r>
      <w:proofErr w:type="gramEnd"/>
      <w:r>
        <w:t xml:space="preserve"> порядок применения инвестиционного вычета, а также повышающего коэффициента в отношении затрат на научно-исследовательские и опытно-конструкторские работы, скорректировать механизм льготного налогообложения высокотехнологичных товаров;</w:t>
      </w:r>
    </w:p>
    <w:p w:rsidR="00FA6157" w:rsidRDefault="00FA6157">
      <w:pPr>
        <w:pStyle w:val="newncpi"/>
      </w:pPr>
      <w:proofErr w:type="gramStart"/>
      <w:r>
        <w:t>установить</w:t>
      </w:r>
      <w:proofErr w:type="gramEnd"/>
      <w:r>
        <w:t xml:space="preserve"> льготный режим налогообложения в отношении доходов инвестиционных фондов, а также доходов инвесторов, получаемых от участия в них.</w:t>
      </w:r>
    </w:p>
    <w:p w:rsidR="00FA6157" w:rsidRDefault="00FA6157">
      <w:pPr>
        <w:pStyle w:val="newncpi"/>
      </w:pPr>
      <w:r>
        <w:t>Планируется увеличить долю имущественных налогов в доходах местных бюджетов. Будут скорректированы подходы к налогообложению самозанятых граждан и индивидуальных предпринимателей.</w:t>
      </w:r>
    </w:p>
    <w:p w:rsidR="00FA6157" w:rsidRDefault="00FA6157">
      <w:pPr>
        <w:pStyle w:val="newncpi"/>
      </w:pPr>
      <w:r>
        <w:t>Уровень налоговой нагрузки не превысит 26 процентов к ВВП.</w:t>
      </w:r>
    </w:p>
    <w:p w:rsidR="00FA6157" w:rsidRDefault="00FA6157">
      <w:pPr>
        <w:pStyle w:val="newncpi"/>
      </w:pPr>
      <w:r>
        <w:t>Для</w:t>
      </w:r>
      <w:r>
        <w:rPr>
          <w:b/>
          <w:bCs/>
          <w:i/>
          <w:iCs/>
        </w:rPr>
        <w:t xml:space="preserve"> совершенствования налогового администрирования и цифровизации налоговой системы </w:t>
      </w:r>
      <w:r>
        <w:t>предполагается:</w:t>
      </w:r>
    </w:p>
    <w:p w:rsidR="00FA6157" w:rsidRDefault="00FA6157">
      <w:pPr>
        <w:pStyle w:val="newncpi"/>
      </w:pPr>
      <w:proofErr w:type="gramStart"/>
      <w:r>
        <w:t>создать</w:t>
      </w:r>
      <w:proofErr w:type="gramEnd"/>
      <w:r>
        <w:t xml:space="preserve"> единую систему интеллектуальной обработки данных плательщиков;</w:t>
      </w:r>
    </w:p>
    <w:p w:rsidR="00FA6157" w:rsidRDefault="00FA6157">
      <w:pPr>
        <w:pStyle w:val="newncpi"/>
      </w:pPr>
      <w:proofErr w:type="gramStart"/>
      <w:r>
        <w:t>автоматизировать</w:t>
      </w:r>
      <w:proofErr w:type="gramEnd"/>
      <w:r>
        <w:t xml:space="preserve"> процессы налогового администрирования и контроля с внедрением элементов искусственного интеллекта.</w:t>
      </w:r>
    </w:p>
    <w:p w:rsidR="00FA6157" w:rsidRDefault="00FA6157">
      <w:pPr>
        <w:pStyle w:val="newncpi"/>
      </w:pPr>
      <w:r>
        <w:t>Продолжится работа по расширению спектра электронно-цифровых сервисов, оказанию бесконтактных сервисных услуг плательщикам.</w:t>
      </w:r>
    </w:p>
    <w:p w:rsidR="00FA6157" w:rsidRDefault="00FA6157">
      <w:pPr>
        <w:pStyle w:val="newncpi"/>
      </w:pPr>
      <w:r>
        <w:t>Предстоит внедрить механизм выпуска банковских гарантий между банками и налоговыми органами в электронном виде.</w:t>
      </w:r>
    </w:p>
    <w:p w:rsidR="00FA6157" w:rsidRDefault="00FA6157">
      <w:pPr>
        <w:pStyle w:val="newncpi"/>
      </w:pPr>
      <w:r>
        <w:t>В</w:t>
      </w:r>
      <w:r>
        <w:rPr>
          <w:b/>
          <w:bCs/>
          <w:i/>
          <w:iCs/>
        </w:rPr>
        <w:t xml:space="preserve"> сфере таможенного регулирования</w:t>
      </w:r>
      <w:r>
        <w:rPr>
          <w:b/>
          <w:bCs/>
        </w:rPr>
        <w:t xml:space="preserve"> </w:t>
      </w:r>
      <w:r>
        <w:t>намечено:</w:t>
      </w:r>
    </w:p>
    <w:p w:rsidR="00FA6157" w:rsidRDefault="00FA6157">
      <w:pPr>
        <w:pStyle w:val="newncpi"/>
      </w:pPr>
      <w:proofErr w:type="gramStart"/>
      <w:r>
        <w:t>повысить</w:t>
      </w:r>
      <w:proofErr w:type="gramEnd"/>
      <w:r>
        <w:t xml:space="preserve"> эффективность применения информационно-коммуникационных технологий, развивать и модернизировать информационные системы таможенных органов и системы защиты информации;</w:t>
      </w:r>
    </w:p>
    <w:p w:rsidR="00FA6157" w:rsidRDefault="00FA6157">
      <w:pPr>
        <w:pStyle w:val="newncpi"/>
      </w:pPr>
      <w:proofErr w:type="gramStart"/>
      <w:r>
        <w:lastRenderedPageBreak/>
        <w:t>расширить</w:t>
      </w:r>
      <w:proofErr w:type="gramEnd"/>
      <w:r>
        <w:t xml:space="preserve"> возможности таможенных органов в части получения от банков в электронном виде информации, в том числе необходимой для осуществления возложенных на них задач, а также получения сведений, необходимых для подтверждения наличия права на льготы по уплате таможенных пошлин, налогов, путем внедрения Белорусской интегрированной сервисно-расчетной системы (БИСРС).</w:t>
      </w:r>
    </w:p>
    <w:p w:rsidR="00FA6157" w:rsidRDefault="00FA6157">
      <w:pPr>
        <w:pStyle w:val="newncpi"/>
      </w:pPr>
      <w:r>
        <w:t>Инструментом выполнения поставленных задач станет</w:t>
      </w:r>
      <w:r>
        <w:rPr>
          <w:b/>
          <w:bCs/>
        </w:rPr>
        <w:t xml:space="preserve"> </w:t>
      </w:r>
      <w:r>
        <w:t>реализация Государственной программы «Управление государственными финансами и регулирование финансового рынка» на 2020 год и на период до 2025 года.</w:t>
      </w:r>
    </w:p>
    <w:p w:rsidR="00FA6157" w:rsidRDefault="00FA6157">
      <w:pPr>
        <w:pStyle w:val="newncpi"/>
      </w:pPr>
      <w:r>
        <w:t> </w:t>
      </w:r>
    </w:p>
    <w:p w:rsidR="00FA6157" w:rsidRDefault="00FA6157">
      <w:pPr>
        <w:pStyle w:val="underpoint"/>
      </w:pPr>
      <w:r>
        <w:rPr>
          <w:b/>
          <w:bCs/>
        </w:rPr>
        <w:t xml:space="preserve">10.5. Благоприятная деловая среда </w:t>
      </w:r>
    </w:p>
    <w:p w:rsidR="00FA6157" w:rsidRDefault="00FA6157">
      <w:pPr>
        <w:pStyle w:val="newncpi"/>
      </w:pPr>
      <w:r>
        <w:t> </w:t>
      </w:r>
    </w:p>
    <w:p w:rsidR="00FA6157" w:rsidRDefault="00FA6157">
      <w:pPr>
        <w:pStyle w:val="newncpi"/>
      </w:pPr>
      <w:r>
        <w:t>Предстоит создать стабильные, комфортные, конкурентные и предсказуемые условия для инвестирования и ведения бизнеса. Акцент будет сделан на укрепление доверия делового сообщества к деятельности государственных институтов.</w:t>
      </w:r>
    </w:p>
    <w:p w:rsidR="00FA6157" w:rsidRDefault="00FA6157">
      <w:pPr>
        <w:pStyle w:val="newncpi"/>
      </w:pPr>
      <w:r>
        <w:t xml:space="preserve">Ключевая задача – </w:t>
      </w:r>
      <w:r>
        <w:rPr>
          <w:b/>
          <w:bCs/>
          <w:i/>
          <w:iCs/>
        </w:rPr>
        <w:t>повысить привлекательность белорусской юрисдикции для бизнеса</w:t>
      </w:r>
      <w:r>
        <w:rPr>
          <w:b/>
          <w:bCs/>
        </w:rPr>
        <w:t>,</w:t>
      </w:r>
      <w:r>
        <w:rPr>
          <w:b/>
          <w:bCs/>
          <w:i/>
          <w:iCs/>
        </w:rPr>
        <w:t xml:space="preserve"> </w:t>
      </w:r>
      <w:r>
        <w:t>основанной на принципах равной конкуренции, декриминализации экономических рисков, обеспечения прав и защиты частной собственности. Для этого предусматривается:</w:t>
      </w:r>
    </w:p>
    <w:p w:rsidR="00FA6157" w:rsidRDefault="00FA6157">
      <w:pPr>
        <w:pStyle w:val="newncpi"/>
      </w:pPr>
      <w:proofErr w:type="gramStart"/>
      <w:r>
        <w:t>сократить</w:t>
      </w:r>
      <w:proofErr w:type="gramEnd"/>
      <w:r>
        <w:t xml:space="preserve"> количество оснований для привлечения к уголовной и административной ответственности за правонарушения в экономической сфере с учетом практики применения;</w:t>
      </w:r>
    </w:p>
    <w:p w:rsidR="00FA6157" w:rsidRDefault="00FA6157">
      <w:pPr>
        <w:pStyle w:val="newncpi"/>
      </w:pPr>
      <w:proofErr w:type="gramStart"/>
      <w:r>
        <w:t>пересмотреть</w:t>
      </w:r>
      <w:proofErr w:type="gramEnd"/>
      <w:r>
        <w:t xml:space="preserve"> пороги наказания, обеспечив его соразмерность совершенным экономическим правонарушениям;</w:t>
      </w:r>
    </w:p>
    <w:p w:rsidR="00FA6157" w:rsidRDefault="00FA6157">
      <w:pPr>
        <w:pStyle w:val="newncpi"/>
      </w:pPr>
      <w:proofErr w:type="gramStart"/>
      <w:r>
        <w:t>исключить</w:t>
      </w:r>
      <w:proofErr w:type="gramEnd"/>
      <w:r>
        <w:t xml:space="preserve"> возможность изъятия имущества, заключения под стражу лиц до вынесения приговора за экономические преступления;</w:t>
      </w:r>
    </w:p>
    <w:p w:rsidR="00FA6157" w:rsidRDefault="00FA6157">
      <w:pPr>
        <w:pStyle w:val="newncpi"/>
      </w:pPr>
      <w:proofErr w:type="gramStart"/>
      <w:r>
        <w:t>не</w:t>
      </w:r>
      <w:proofErr w:type="gramEnd"/>
      <w:r>
        <w:t xml:space="preserve"> допускать использования уголовного преследования в целях решения хозяйственных (экономических) споров.</w:t>
      </w:r>
    </w:p>
    <w:p w:rsidR="00FA6157" w:rsidRDefault="00FA6157">
      <w:pPr>
        <w:pStyle w:val="newncpi"/>
      </w:pPr>
      <w:r>
        <w:t>При принятии судебных решений будет обеспечено неукоснительное применение в отношении предпринимательской деятельности принципа «что не запрещено, то разрешено». Исключительное право на принятие решений о принудительной остановке работы организаций получат только суды.</w:t>
      </w:r>
    </w:p>
    <w:p w:rsidR="00FA6157" w:rsidRDefault="00FA6157">
      <w:pPr>
        <w:pStyle w:val="newncpi"/>
      </w:pPr>
      <w:r>
        <w:t>Планируется закрепить в законодательных актах приоритет удовлетворения требований кредиторов по обязательствам, обеспеченным залогом имущества должника.</w:t>
      </w:r>
    </w:p>
    <w:p w:rsidR="00FA6157" w:rsidRDefault="00FA6157">
      <w:pPr>
        <w:pStyle w:val="newncpi"/>
      </w:pPr>
      <w:r>
        <w:t>Для</w:t>
      </w:r>
      <w:r>
        <w:rPr>
          <w:b/>
          <w:bCs/>
          <w:i/>
          <w:iCs/>
        </w:rPr>
        <w:t xml:space="preserve"> оптимизации</w:t>
      </w:r>
      <w:r>
        <w:rPr>
          <w:i/>
          <w:iCs/>
        </w:rPr>
        <w:t xml:space="preserve"> </w:t>
      </w:r>
      <w:r>
        <w:rPr>
          <w:b/>
          <w:bCs/>
          <w:i/>
          <w:iCs/>
        </w:rPr>
        <w:t xml:space="preserve">регулирования предпринимательской деятельности </w:t>
      </w:r>
      <w:r>
        <w:t>намечено минимизировать регулирующие и контролирующие функции государства в экономической сфере, придать деятельности контролирующих (надзорных) органов преимущественно упредительный характер.</w:t>
      </w:r>
    </w:p>
    <w:p w:rsidR="00FA6157" w:rsidRDefault="00FA6157">
      <w:pPr>
        <w:pStyle w:val="newncpi"/>
      </w:pPr>
      <w:r>
        <w:t>Необходимо развивать институты оценки регулирующего воздействия, саморегулирования и сорегулирования экономической деятельности, включая подготовку специалистов в области оценки регулирующего воздействия, передачу государственными органами части функций саморегулируемым организациям в соответствующих сферах предпринимательской (профессиональной) деятельности в отношении своих членов.</w:t>
      </w:r>
    </w:p>
    <w:p w:rsidR="00FA6157" w:rsidRDefault="00FA6157">
      <w:pPr>
        <w:pStyle w:val="newncpi"/>
      </w:pPr>
      <w:r>
        <w:t>Повысится доступность аналитики в части деятельности государственных институтов, деловое сообщество будет максимально вовлечено в процесс подготовки решений.</w:t>
      </w:r>
    </w:p>
    <w:p w:rsidR="00FA6157" w:rsidRDefault="00FA6157">
      <w:pPr>
        <w:pStyle w:val="newncpi"/>
      </w:pPr>
      <w:r>
        <w:t>Предусматривается оптимизировать и максимально цифровизировать разрешительные процедуры и процедуры согласования, связанные с осуществлением экономической деятельности, в том числе сократить сроки принятия государственными органами административных решений в сфере осуществления предпринимательской деятельности.</w:t>
      </w:r>
    </w:p>
    <w:p w:rsidR="00FA6157" w:rsidRDefault="00FA6157">
      <w:pPr>
        <w:pStyle w:val="newncpi"/>
      </w:pPr>
      <w:r>
        <w:lastRenderedPageBreak/>
        <w:t>Важной задачей станет обеспечение равных для субъектов хозяйствования всех форм собственности условий доступа к финансированию и ресурсам с учетом критериев экономической эффективности.</w:t>
      </w:r>
    </w:p>
    <w:p w:rsidR="00FA6157" w:rsidRDefault="00FA6157">
      <w:pPr>
        <w:pStyle w:val="newncpi"/>
      </w:pPr>
      <w:r>
        <w:rPr>
          <w:b/>
          <w:bCs/>
          <w:i/>
          <w:iCs/>
        </w:rPr>
        <w:t xml:space="preserve">В рамках перехода на новый уровень государственной поддержки малого и среднего предпринимательства </w:t>
      </w:r>
      <w:r>
        <w:t>предстоит работа по</w:t>
      </w:r>
      <w:r>
        <w:rPr>
          <w:b/>
          <w:bCs/>
          <w:i/>
          <w:iCs/>
        </w:rPr>
        <w:t xml:space="preserve"> </w:t>
      </w:r>
      <w:r>
        <w:t>централизации и согласованию регуляторных мер в сфере стимулирования предпринимательской инициативы и привлечения инвестиций с интересами регионального развития.</w:t>
      </w:r>
    </w:p>
    <w:p w:rsidR="00FA6157" w:rsidRDefault="00FA6157">
      <w:pPr>
        <w:pStyle w:val="newncpi"/>
      </w:pPr>
      <w:r>
        <w:t>Изменятся подходы к определению субъектного состава сектора малого и среднего предпринимательства.</w:t>
      </w:r>
    </w:p>
    <w:p w:rsidR="00FA6157" w:rsidRDefault="00FA6157">
      <w:pPr>
        <w:pStyle w:val="newncpi"/>
      </w:pPr>
      <w:r>
        <w:t>Планируется развивать инструменты финансирования малого и среднего предпринимательства, в том числе прямого инвестиционного финансирования (венчурное, гибридное и коллективное финансирование, инвестиции бизнес-ангелов), расширить инструменты нефинансовой поддержки.</w:t>
      </w:r>
    </w:p>
    <w:p w:rsidR="00FA6157" w:rsidRDefault="00FA6157">
      <w:pPr>
        <w:pStyle w:val="newncpi"/>
      </w:pPr>
      <w:r>
        <w:t>Субъекты малого и среднего предпринимательства будут шире вовлекаться в кооперационные цепочки, в том числе с крупными предприятиями.</w:t>
      </w:r>
    </w:p>
    <w:p w:rsidR="00FA6157" w:rsidRDefault="00FA6157">
      <w:pPr>
        <w:pStyle w:val="newncpi"/>
      </w:pPr>
      <w:r>
        <w:rPr>
          <w:b/>
          <w:bCs/>
          <w:i/>
          <w:iCs/>
        </w:rPr>
        <w:t xml:space="preserve">Последовательная реализация политики в области конкуренции </w:t>
      </w:r>
      <w:r>
        <w:t>предполагает исключение возможности принятия антиконкурентных решений государственными органами, их должностными лицами.</w:t>
      </w:r>
    </w:p>
    <w:p w:rsidR="00FA6157" w:rsidRDefault="00FA6157">
      <w:pPr>
        <w:pStyle w:val="newncpi"/>
      </w:pPr>
      <w:r>
        <w:t>Предстоит внедрить систему управления антимонопольными рисками, разработать программу по борьбе с ценовыми сговорами, оптимизировать регулирование услуг в сферах естественных монополий.</w:t>
      </w:r>
    </w:p>
    <w:p w:rsidR="00FA6157" w:rsidRDefault="00FA6157">
      <w:pPr>
        <w:pStyle w:val="newncpi"/>
      </w:pPr>
      <w:r>
        <w:t>Реализация намеченных мер позволит обеспечить удельный вес валовой добавленной стоимости, формируемой субъектами малого и среднего предпринимательства, в валовой добавленной стоимости республики не менее 33 процентов в 2025 году. Целевой критерий – вхождение Республики Беларусь по индексу развития конкуренции (PMR) в первую пятерку стран, не являющихся членами Организации экономического сотрудничества и развития.</w:t>
      </w:r>
    </w:p>
    <w:p w:rsidR="00FA6157" w:rsidRDefault="00FA6157">
      <w:pPr>
        <w:pStyle w:val="newncpi"/>
      </w:pPr>
      <w:r>
        <w:t>Инструментом выполнения поставленных задач станет реализация</w:t>
      </w:r>
      <w:r>
        <w:rPr>
          <w:b/>
          <w:bCs/>
        </w:rPr>
        <w:t xml:space="preserve"> </w:t>
      </w:r>
      <w:r>
        <w:t>Государственной программы «Малое и среднее предпринимательство» на 2021–2025 годы и Программы развития конкуренции в Республике Беларусь на 2021–2025 годы.</w:t>
      </w:r>
    </w:p>
    <w:p w:rsidR="00FA6157" w:rsidRDefault="00FA6157">
      <w:pPr>
        <w:pStyle w:val="newncpi"/>
      </w:pPr>
      <w:r>
        <w:t> </w:t>
      </w:r>
    </w:p>
    <w:p w:rsidR="00FA6157" w:rsidRDefault="00FA6157">
      <w:pPr>
        <w:pStyle w:val="underpoint"/>
      </w:pPr>
      <w:r>
        <w:rPr>
          <w:b/>
          <w:bCs/>
        </w:rPr>
        <w:t>10.6. Повышение качества государственного управления и эффективности государственных активов</w:t>
      </w:r>
    </w:p>
    <w:p w:rsidR="00FA6157" w:rsidRDefault="00FA6157">
      <w:pPr>
        <w:pStyle w:val="newncpi"/>
      </w:pPr>
      <w:r>
        <w:t> </w:t>
      </w:r>
    </w:p>
    <w:p w:rsidR="00FA6157" w:rsidRDefault="00FA6157">
      <w:pPr>
        <w:pStyle w:val="newncpi"/>
      </w:pPr>
      <w:r>
        <w:t>Современный этап развития предъявляет новые высокие требования к государственному управлению. Ключевые задачи – повышение качества государственных услуг до уровня лучших мировых практик, эффективности работы и профессионализма государственного аппарата, совершенствование системы управления отраслями экономики.</w:t>
      </w:r>
      <w:r>
        <w:rPr>
          <w:b/>
          <w:bCs/>
        </w:rPr>
        <w:t xml:space="preserve"> </w:t>
      </w:r>
    </w:p>
    <w:p w:rsidR="00FA6157" w:rsidRDefault="00FA6157">
      <w:pPr>
        <w:pStyle w:val="newncpi"/>
      </w:pPr>
      <w:r>
        <w:t>Один из критериев качества государственного управления – вхождение Республики Беларусь в число 40 лучших стран мира по рейтингу качества государственного управления.</w:t>
      </w:r>
    </w:p>
    <w:p w:rsidR="00FA6157" w:rsidRDefault="00FA6157">
      <w:pPr>
        <w:pStyle w:val="newncpi"/>
      </w:pPr>
      <w:r>
        <w:t>Предстоит сформировать государственный аппарат, способный прогнозировать спрос на актуальные запросы общества и работать на опережение.</w:t>
      </w:r>
    </w:p>
    <w:p w:rsidR="00FA6157" w:rsidRDefault="00FA6157">
      <w:pPr>
        <w:pStyle w:val="newncpi"/>
      </w:pPr>
      <w:r>
        <w:t>Для этого предусматривается:</w:t>
      </w:r>
    </w:p>
    <w:p w:rsidR="00FA6157" w:rsidRDefault="00FA6157">
      <w:pPr>
        <w:pStyle w:val="newncpi"/>
      </w:pPr>
      <w:proofErr w:type="gramStart"/>
      <w:r>
        <w:t>обеспечить</w:t>
      </w:r>
      <w:proofErr w:type="gramEnd"/>
      <w:r>
        <w:t xml:space="preserve"> своевременное рассмотрение обращений граждан и юридических лиц и улучшить качество принимаемых решений по поставленным в них вопросам;</w:t>
      </w:r>
    </w:p>
    <w:p w:rsidR="00FA6157" w:rsidRDefault="00FA6157">
      <w:pPr>
        <w:pStyle w:val="newncpi"/>
      </w:pPr>
      <w:proofErr w:type="gramStart"/>
      <w:r>
        <w:t>максимально</w:t>
      </w:r>
      <w:proofErr w:type="gramEnd"/>
      <w:r>
        <w:t xml:space="preserve"> развивать электронные каналы обратной связи и взаимодействия государственной власти с гражданами и организациями путем широкого использования информационно-коммуникационных технологий.</w:t>
      </w:r>
    </w:p>
    <w:p w:rsidR="00FA6157" w:rsidRDefault="00FA6157">
      <w:pPr>
        <w:pStyle w:val="newncpi"/>
      </w:pPr>
      <w:r>
        <w:t xml:space="preserve">Будет усилена работа по оперативному рассмотрению поступивших от граждан и общественных институтов обращений и инициатив, активизации их участия </w:t>
      </w:r>
      <w:r>
        <w:lastRenderedPageBreak/>
        <w:t>в обсуждении проектов нормативных правовых актов и программ развития, в том числе в глобальной компьютерной сети Интернет. Это позволит вовлечь их в процесс принятия управленческих решений.</w:t>
      </w:r>
    </w:p>
    <w:p w:rsidR="00FA6157" w:rsidRDefault="00FA6157">
      <w:pPr>
        <w:pStyle w:val="newncpi"/>
      </w:pPr>
      <w:r>
        <w:t>Предстоит разработать систему мониторинга качества государственных услуг, позволяющую аккумулировать мнения их потребителей, и на этой основе дать оценку всей системе предоставления государственных услуг. Предполагается внедрить прозрачную систему независимой оценки эффективности работы органов государственного управления.</w:t>
      </w:r>
    </w:p>
    <w:p w:rsidR="00FA6157" w:rsidRDefault="00FA6157">
      <w:pPr>
        <w:pStyle w:val="newncpi"/>
      </w:pPr>
      <w:r>
        <w:t>С целью повышения уровня медиаграмотности и медиакультуры населения, доверия к средствам массовой информации необходимо обеспечить широкое представление государственной позиции в интернет-пространстве путем проведения коммуникационной политики.</w:t>
      </w:r>
    </w:p>
    <w:p w:rsidR="00FA6157" w:rsidRDefault="00FA6157">
      <w:pPr>
        <w:pStyle w:val="newncpi"/>
      </w:pPr>
      <w:r>
        <w:t>Основные усилия будут сконцентрированы на совершенствовании организационной структуры отраслевого управления в целях обеспечения быстрого реагирования на изменения и принятия решений, устранения волокиты и бюрократизма. Акцент в отраслевой политике будет сделан на разработку стратегий развития, продвижение интересов предприятий всех форм собственности, прежде всего на внешних рынках.</w:t>
      </w:r>
    </w:p>
    <w:p w:rsidR="00FA6157" w:rsidRDefault="00FA6157">
      <w:pPr>
        <w:pStyle w:val="newncpi"/>
      </w:pPr>
      <w:r>
        <w:t>В первые годы пятилетия будет проведена конституционная реформа.</w:t>
      </w:r>
    </w:p>
    <w:p w:rsidR="00FA6157" w:rsidRDefault="00FA6157">
      <w:pPr>
        <w:pStyle w:val="newncpi"/>
      </w:pPr>
      <w:r>
        <w:t>Потребуется укрепить механизмы государственного управления в сфере защиты от чрезвычайных ситуаций путем совершенствования соответствующего законодательства и изучения на плановой основе готовности органов управления, сил и средств Государственной системы предупреждения и ликвидации чрезвычайных ситуаций и гражданской обороны к реагированию на чрезвычайные ситуации.</w:t>
      </w:r>
    </w:p>
    <w:p w:rsidR="00FA6157" w:rsidRDefault="00FA6157">
      <w:pPr>
        <w:pStyle w:val="newncpi"/>
      </w:pPr>
      <w:r>
        <w:t>Предполагается усовершенствовать нормативную правовую основу государственной службы, будут установлены общие требования служебной этики государственных служащих.</w:t>
      </w:r>
    </w:p>
    <w:p w:rsidR="00FA6157" w:rsidRDefault="00FA6157">
      <w:pPr>
        <w:pStyle w:val="newncpi"/>
      </w:pPr>
      <w:r>
        <w:t>Будет сформирована новая система подбора кадров, созданы институты постоянной переподготовки государственных служащих с использованием дистанционных методов обучения и модульных образовательных программ.</w:t>
      </w:r>
    </w:p>
    <w:p w:rsidR="00FA6157" w:rsidRDefault="00FA6157">
      <w:pPr>
        <w:pStyle w:val="newncpi"/>
      </w:pPr>
      <w:r>
        <w:t>Подготовку руководителей необходимо направить на формирование управленцев-государственников, преданных своему Отечеству, с ярко выраженными лидерскими качествами, нацеленных на решение конкретных проблем граждан и государственных задач.</w:t>
      </w:r>
    </w:p>
    <w:p w:rsidR="00FA6157" w:rsidRDefault="00FA6157">
      <w:pPr>
        <w:pStyle w:val="newncpi"/>
      </w:pPr>
      <w:r>
        <w:t>Для совершенствования</w:t>
      </w:r>
      <w:r>
        <w:rPr>
          <w:b/>
          <w:bCs/>
          <w:i/>
          <w:iCs/>
        </w:rPr>
        <w:t xml:space="preserve"> территориальной системы государственного управления </w:t>
      </w:r>
      <w:r>
        <w:t>предусматривается:</w:t>
      </w:r>
    </w:p>
    <w:p w:rsidR="00FA6157" w:rsidRDefault="00FA6157">
      <w:pPr>
        <w:pStyle w:val="newncpi"/>
      </w:pPr>
      <w:proofErr w:type="gramStart"/>
      <w:r>
        <w:t>повысить</w:t>
      </w:r>
      <w:proofErr w:type="gramEnd"/>
      <w:r>
        <w:t xml:space="preserve"> управляемость, сократив количество квазигосударственных структур, с направлением высвобождаемых работников в сферу развития регионального бизнеса;</w:t>
      </w:r>
    </w:p>
    <w:p w:rsidR="00FA6157" w:rsidRDefault="00FA6157">
      <w:pPr>
        <w:pStyle w:val="newncpi"/>
      </w:pPr>
      <w:proofErr w:type="gramStart"/>
      <w:r>
        <w:t>расширить</w:t>
      </w:r>
      <w:proofErr w:type="gramEnd"/>
      <w:r>
        <w:t xml:space="preserve"> полномочия местных органов управления в сфере регулирования земельных и имущественных отношений, архитектурной, строительной и градостроительной деятельности, стимулирования притока инвестиций для создания новых производств, упрощения норм и правил ведения бизнеса, повышения их финансовой самостоятельности.</w:t>
      </w:r>
    </w:p>
    <w:p w:rsidR="00FA6157" w:rsidRDefault="00FA6157">
      <w:pPr>
        <w:pStyle w:val="newncpi"/>
      </w:pPr>
      <w:r>
        <w:t>Каждый местный бюджет будет формироваться с учетом инициатив гражданского общества. Сверхплановые собственные доходы местных бюджетов, получаемые в рамках финансового года, останутся в их распоряжении.</w:t>
      </w:r>
    </w:p>
    <w:p w:rsidR="00FA6157" w:rsidRDefault="00FA6157">
      <w:pPr>
        <w:pStyle w:val="newncpi"/>
      </w:pPr>
      <w:r>
        <w:t xml:space="preserve">В целях </w:t>
      </w:r>
      <w:r>
        <w:rPr>
          <w:b/>
          <w:bCs/>
          <w:i/>
          <w:iCs/>
        </w:rPr>
        <w:t>повышения эффективности государственных активов</w:t>
      </w:r>
      <w:r>
        <w:rPr>
          <w:b/>
          <w:bCs/>
        </w:rPr>
        <w:t xml:space="preserve"> </w:t>
      </w:r>
      <w:r>
        <w:t>планируется:</w:t>
      </w:r>
    </w:p>
    <w:p w:rsidR="00FA6157" w:rsidRDefault="00FA6157">
      <w:pPr>
        <w:pStyle w:val="newncpi"/>
      </w:pPr>
      <w:proofErr w:type="gramStart"/>
      <w:r>
        <w:t>осуществить</w:t>
      </w:r>
      <w:proofErr w:type="gramEnd"/>
      <w:r>
        <w:t xml:space="preserve"> переход на модель управления государственными предприятиями путем объединения и укрупнения их активов с включением в их состав научно-исследовательских организаций;</w:t>
      </w:r>
    </w:p>
    <w:p w:rsidR="00FA6157" w:rsidRDefault="00FA6157">
      <w:pPr>
        <w:pStyle w:val="newncpi"/>
      </w:pPr>
      <w:proofErr w:type="gramStart"/>
      <w:r>
        <w:t>провести</w:t>
      </w:r>
      <w:proofErr w:type="gramEnd"/>
      <w:r>
        <w:t xml:space="preserve"> диагностику финансового состояния (включая долговые обязательства) государственных организаций и организаций с долей государства, позволяющую </w:t>
      </w:r>
      <w:r>
        <w:lastRenderedPageBreak/>
        <w:t>определить перспективы их развития и разработать комплекс необходимых мер, по следующим группам:</w:t>
      </w:r>
    </w:p>
    <w:p w:rsidR="00FA6157" w:rsidRDefault="00FA6157">
      <w:pPr>
        <w:pStyle w:val="newncpi"/>
      </w:pPr>
      <w:proofErr w:type="gramStart"/>
      <w:r>
        <w:rPr>
          <w:i/>
          <w:iCs/>
        </w:rPr>
        <w:t>прибыльные</w:t>
      </w:r>
      <w:proofErr w:type="gramEnd"/>
      <w:r>
        <w:rPr>
          <w:i/>
          <w:iCs/>
        </w:rPr>
        <w:t xml:space="preserve"> предприятия</w:t>
      </w:r>
      <w:r>
        <w:t>, способные развиваться самостоятельно, – повышение капитализации, внедрение корпоративного управления;</w:t>
      </w:r>
    </w:p>
    <w:p w:rsidR="00FA6157" w:rsidRDefault="00FA6157">
      <w:pPr>
        <w:pStyle w:val="newncpi"/>
      </w:pPr>
      <w:proofErr w:type="gramStart"/>
      <w:r>
        <w:rPr>
          <w:i/>
          <w:iCs/>
        </w:rPr>
        <w:t>предприятия</w:t>
      </w:r>
      <w:proofErr w:type="gramEnd"/>
      <w:r>
        <w:rPr>
          <w:i/>
          <w:iCs/>
        </w:rPr>
        <w:t xml:space="preserve"> со значительным долгом, но жизнеспособные – </w:t>
      </w:r>
      <w:r>
        <w:t>реструктуризация операционной деятельности и реинжиниринг бизнес-процессов;</w:t>
      </w:r>
    </w:p>
    <w:p w:rsidR="00FA6157" w:rsidRDefault="00FA6157">
      <w:pPr>
        <w:pStyle w:val="newncpi"/>
      </w:pPr>
      <w:proofErr w:type="gramStart"/>
      <w:r>
        <w:rPr>
          <w:i/>
          <w:iCs/>
        </w:rPr>
        <w:t>устойчиво</w:t>
      </w:r>
      <w:proofErr w:type="gramEnd"/>
      <w:r>
        <w:rPr>
          <w:i/>
          <w:iCs/>
        </w:rPr>
        <w:t xml:space="preserve"> неэффективные организации</w:t>
      </w:r>
      <w:r>
        <w:t>,</w:t>
      </w:r>
      <w:r>
        <w:rPr>
          <w:i/>
          <w:iCs/>
        </w:rPr>
        <w:t xml:space="preserve"> </w:t>
      </w:r>
      <w:r>
        <w:t>обремененные долгами и не имеющие перспектив развития, – оздоровление путем санации и перепрофилирования.</w:t>
      </w:r>
    </w:p>
    <w:p w:rsidR="00FA6157" w:rsidRDefault="00FA6157">
      <w:pPr>
        <w:pStyle w:val="newncpi"/>
      </w:pPr>
      <w:r>
        <w:t>Предстоит модернизировать систему владельческого надзора за счет поэтапного перехода на профессиональную основу института представителей государства.</w:t>
      </w:r>
    </w:p>
    <w:p w:rsidR="00FA6157" w:rsidRDefault="00FA6157">
      <w:pPr>
        <w:pStyle w:val="newncpi"/>
      </w:pPr>
      <w:r>
        <w:t>Для совершенствования работы государственного сектора экономики необходимо разработать ряд законопроектов: о государственных организациях и хозяйственных обществах с участием государства, в том числе об урегулировании неплатежеспособности и другие.</w:t>
      </w:r>
    </w:p>
    <w:p w:rsidR="00FA6157" w:rsidRDefault="00FA6157">
      <w:pPr>
        <w:pStyle w:val="newncpi"/>
      </w:pPr>
      <w:r>
        <w:t>К работе в государственных организациях будут привлекаться профессиональные управляющие, деятельность которых будет оцениваться по росту чистой прибыли.</w:t>
      </w:r>
    </w:p>
    <w:p w:rsidR="00FA6157" w:rsidRDefault="00FA6157">
      <w:pPr>
        <w:pStyle w:val="newncpi"/>
      </w:pPr>
      <w:r>
        <w:t>Акцент в системе мотивации и поощрения руководителей организаций государственного сектора на долгосрочное развитие сместится на стимулирующие программы, предусматривающие в том числе выплату вознаграждения акциями (долями) хозяйственных обществ.</w:t>
      </w:r>
    </w:p>
    <w:p w:rsidR="00FA6157" w:rsidRDefault="00FA6157">
      <w:pPr>
        <w:pStyle w:val="newncpi"/>
      </w:pPr>
      <w:r>
        <w:t>Эффективность оперативного управления повысится за счет предоставления достаточной свободы руководителям при принятии решений, их законодательного права на экономический риск, а также благодаря внедрению действенной поощрительной системы.</w:t>
      </w:r>
    </w:p>
    <w:p w:rsidR="00FA6157" w:rsidRDefault="00FA6157">
      <w:pPr>
        <w:pStyle w:val="newncpi"/>
      </w:pPr>
      <w:r>
        <w:t>В качестве индикатора успешности реализации намеченных мер выступит рост удельного веса рентабельных организаций в их общем количестве до 85 процентов в 2025 году.</w:t>
      </w:r>
    </w:p>
    <w:p w:rsidR="00FA6157" w:rsidRDefault="00FA6157">
      <w:pPr>
        <w:pStyle w:val="newncpi"/>
      </w:pPr>
      <w:r>
        <w:t xml:space="preserve">Ключевая задача пятилетия – </w:t>
      </w:r>
      <w:r>
        <w:rPr>
          <w:b/>
          <w:bCs/>
          <w:i/>
          <w:iCs/>
        </w:rPr>
        <w:t xml:space="preserve">начать работу по проведению инвентаризации и вовлечь неиспользуемые или неэффективно используемые ресурсы и национальное богатство </w:t>
      </w:r>
      <w:r>
        <w:t xml:space="preserve">(совокупность накопленных ресурсов, собственного капитала, материальных и нематериальных активов, созданных трудом всех предшествующих поколений) </w:t>
      </w:r>
      <w:r>
        <w:rPr>
          <w:b/>
          <w:bCs/>
          <w:i/>
          <w:iCs/>
        </w:rPr>
        <w:t>в экономический оборот</w:t>
      </w:r>
      <w:r>
        <w:rPr>
          <w:b/>
          <w:bCs/>
        </w:rPr>
        <w:t xml:space="preserve">. </w:t>
      </w:r>
      <w:r>
        <w:t>Количество объектов, не вовлеченных в оборот в течение пяти лет, составит не более 2 процентов.</w:t>
      </w:r>
    </w:p>
    <w:p w:rsidR="00FA6157" w:rsidRDefault="00FA6157">
      <w:pPr>
        <w:pStyle w:val="newncpi"/>
      </w:pPr>
      <w:r>
        <w:t>Инструментом выполнения поставленных задач станет</w:t>
      </w:r>
      <w:r>
        <w:rPr>
          <w:b/>
          <w:bCs/>
        </w:rPr>
        <w:t xml:space="preserve"> </w:t>
      </w:r>
      <w:r>
        <w:t>реализация государственных программ на 2021–2025 годы «Цифровое развитие Беларуси», «Массовая информация и книгоиздание», «Земельно-имущественные отношения, геодезическая и картографическая деятельность».</w:t>
      </w:r>
    </w:p>
    <w:p w:rsidR="00FA6157" w:rsidRDefault="00FA6157">
      <w:pPr>
        <w:pStyle w:val="chapter"/>
      </w:pPr>
      <w:r>
        <w:t xml:space="preserve">ГЛАВА 11 </w:t>
      </w:r>
      <w:r>
        <w:br/>
        <w:t>ЗАКЛЮЧЕНИЕ</w:t>
      </w:r>
    </w:p>
    <w:p w:rsidR="00FA6157" w:rsidRDefault="00FA6157">
      <w:pPr>
        <w:pStyle w:val="newncpi"/>
      </w:pPr>
      <w:r>
        <w:t>Главными итогами выполнения Программы станут сохранение социальной стабильности, рост уровня благосостояния и качества жизни населения, конкурентоспособная экспортоориентированная экономика, развитая бизнес-сфера и комфортная среда для проживания во всех регионах страны.</w:t>
      </w:r>
    </w:p>
    <w:p w:rsidR="00FA6157" w:rsidRDefault="00FA6157">
      <w:pPr>
        <w:pStyle w:val="newncpi"/>
      </w:pPr>
      <w:r>
        <w:t>Благодаря открытости и прозрачности проводимой в стране социальной и экономической политики существенно повысится степень доверия бизнеса к деятельности государственных институтов. Вклад малого и среднего предпринимательства в валовую добавленную стоимость республики увеличится до 33 процентов.</w:t>
      </w:r>
    </w:p>
    <w:p w:rsidR="00FA6157" w:rsidRDefault="00FA6157">
      <w:pPr>
        <w:pStyle w:val="newncpi"/>
      </w:pPr>
      <w:r>
        <w:t xml:space="preserve">Создаваемые для ведения бизнеса условия и предоставляемые гарантии защиты прав инвестора позволят закрепить статус Беларуси как наиболее привлекательной </w:t>
      </w:r>
      <w:r>
        <w:lastRenderedPageBreak/>
        <w:t>для инвестирования страны. Доля инвестиций в основной капитал к ВВП возрастет до 22–23 процентов.</w:t>
      </w:r>
    </w:p>
    <w:p w:rsidR="00FA6157" w:rsidRDefault="00FA6157">
      <w:pPr>
        <w:pStyle w:val="newncpi"/>
      </w:pPr>
      <w:r>
        <w:t>Переход на корпоративную модель управления, оптимизация бизнес-процессов, формирование крупных и узнаваемых брендов в промышленности, оптимизация численности государственных организаций повысят отдачу от государственных активов и имущества.</w:t>
      </w:r>
    </w:p>
    <w:p w:rsidR="00FA6157" w:rsidRDefault="00FA6157">
      <w:pPr>
        <w:pStyle w:val="newncpi"/>
      </w:pPr>
      <w:r>
        <w:t>Практикоориентированное образование, гарантирующее приобретение современных навыков и компетенций, повысит качество трудового потенциала и станет фундаментом для формирования инновационной экономики.</w:t>
      </w:r>
    </w:p>
    <w:p w:rsidR="00FA6157" w:rsidRDefault="00FA6157">
      <w:pPr>
        <w:pStyle w:val="newncpi"/>
      </w:pPr>
      <w:r>
        <w:t>Масштабная цифровая трансформация Беларуси позволит создавать принципиально новую качественную продукцию, повысит роль сферы услуг в экономике страны.</w:t>
      </w:r>
    </w:p>
    <w:p w:rsidR="00FA6157" w:rsidRDefault="00FA6157">
      <w:pPr>
        <w:pStyle w:val="newncpi"/>
      </w:pPr>
      <w:r>
        <w:t>Повышение конкурентоспособности товаров, создаваемых белорусскими предприятиями, будет способствовать формированию положительного сальдо внешней торговли. Объем экспорта товаров и услуг в 2025 году превысит 50 млрд. долларов США при снижении доли сырьевого экспорта.</w:t>
      </w:r>
    </w:p>
    <w:p w:rsidR="00FA6157" w:rsidRDefault="00FA6157">
      <w:pPr>
        <w:pStyle w:val="newncpi"/>
      </w:pPr>
      <w:r>
        <w:t>В результате основным источником роста ВВП станут эффективные инвестиции, новые технологии и высокопроизводительные рабочие места, гарантирующие достойный уровень оплаты труда. Номинальная начисленная среднемесячная заработная плата для различных категорий работников увеличится в 1,5–2 раза.</w:t>
      </w:r>
    </w:p>
    <w:p w:rsidR="00FA6157" w:rsidRDefault="00FA6157">
      <w:pPr>
        <w:pStyle w:val="newncpi"/>
      </w:pPr>
      <w:r>
        <w:t> </w:t>
      </w:r>
    </w:p>
    <w:p w:rsidR="00FA6157" w:rsidRDefault="00FA6157">
      <w:pPr>
        <w:rPr>
          <w:rFonts w:eastAsia="Times New Roman"/>
        </w:rPr>
        <w:sectPr w:rsidR="00FA6157" w:rsidSect="00FA6157">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FA6157" w:rsidRDefault="00FA615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1667"/>
        <w:gridCol w:w="4542"/>
      </w:tblGrid>
      <w:tr w:rsidR="00FA6157">
        <w:tc>
          <w:tcPr>
            <w:tcW w:w="3599" w:type="pct"/>
            <w:tcMar>
              <w:top w:w="0" w:type="dxa"/>
              <w:left w:w="6" w:type="dxa"/>
              <w:bottom w:w="0" w:type="dxa"/>
              <w:right w:w="6" w:type="dxa"/>
            </w:tcMar>
            <w:hideMark/>
          </w:tcPr>
          <w:p w:rsidR="00FA6157" w:rsidRDefault="00FA6157">
            <w:pPr>
              <w:pStyle w:val="newncpi"/>
            </w:pPr>
            <w:r>
              <w:t> </w:t>
            </w:r>
          </w:p>
        </w:tc>
        <w:tc>
          <w:tcPr>
            <w:tcW w:w="1401" w:type="pct"/>
            <w:tcMar>
              <w:top w:w="0" w:type="dxa"/>
              <w:left w:w="6" w:type="dxa"/>
              <w:bottom w:w="0" w:type="dxa"/>
              <w:right w:w="6" w:type="dxa"/>
            </w:tcMar>
            <w:hideMark/>
          </w:tcPr>
          <w:p w:rsidR="00FA6157" w:rsidRDefault="00FA6157">
            <w:pPr>
              <w:pStyle w:val="append1"/>
            </w:pPr>
            <w:r>
              <w:t>Приложение 1</w:t>
            </w:r>
          </w:p>
          <w:p w:rsidR="00FA6157" w:rsidRDefault="00FA6157">
            <w:pPr>
              <w:pStyle w:val="append"/>
            </w:pPr>
            <w:proofErr w:type="gramStart"/>
            <w:r>
              <w:t>к</w:t>
            </w:r>
            <w:proofErr w:type="gramEnd"/>
            <w:r>
              <w:t xml:space="preserve"> Программе социально-</w:t>
            </w:r>
            <w:r>
              <w:br/>
              <w:t xml:space="preserve">экономического развития </w:t>
            </w:r>
            <w:r>
              <w:br/>
              <w:t xml:space="preserve">Республики Беларусь </w:t>
            </w:r>
            <w:r>
              <w:br/>
              <w:t xml:space="preserve">на 2021–2025 годы </w:t>
            </w:r>
          </w:p>
        </w:tc>
      </w:tr>
    </w:tbl>
    <w:p w:rsidR="00FA6157" w:rsidRDefault="00FA6157">
      <w:pPr>
        <w:pStyle w:val="titlep"/>
        <w:jc w:val="left"/>
      </w:pPr>
      <w:r>
        <w:t>ОСНОВНЫЕ ПРОГНОЗНЫЕ ПОКАЗАТЕЛИ</w:t>
      </w:r>
      <w:r>
        <w:br/>
        <w:t>социально-экономического развития Республики Беларусь на 2021–2025 годы</w:t>
      </w:r>
    </w:p>
    <w:p w:rsidR="00FA6157" w:rsidRDefault="00FA6157">
      <w:pPr>
        <w:pStyle w:val="edizmeren"/>
      </w:pPr>
      <w:r>
        <w:t>(</w:t>
      </w:r>
      <w:proofErr w:type="gramStart"/>
      <w:r>
        <w:t>процентов</w:t>
      </w:r>
      <w:proofErr w:type="gramEnd"/>
      <w:r>
        <w:t>)</w:t>
      </w:r>
    </w:p>
    <w:tbl>
      <w:tblPr>
        <w:tblW w:w="5000" w:type="pct"/>
        <w:tblCellMar>
          <w:left w:w="0" w:type="dxa"/>
          <w:right w:w="0" w:type="dxa"/>
        </w:tblCellMar>
        <w:tblLook w:val="04A0" w:firstRow="1" w:lastRow="0" w:firstColumn="1" w:lastColumn="0" w:noHBand="0" w:noVBand="1"/>
      </w:tblPr>
      <w:tblGrid>
        <w:gridCol w:w="5244"/>
        <w:gridCol w:w="1420"/>
        <w:gridCol w:w="1274"/>
        <w:gridCol w:w="1417"/>
        <w:gridCol w:w="1417"/>
        <w:gridCol w:w="1277"/>
        <w:gridCol w:w="1417"/>
        <w:gridCol w:w="1417"/>
        <w:gridCol w:w="1326"/>
      </w:tblGrid>
      <w:tr w:rsidR="00FA6157">
        <w:trPr>
          <w:trHeight w:val="240"/>
        </w:trPr>
        <w:tc>
          <w:tcPr>
            <w:tcW w:w="1618"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A6157" w:rsidRDefault="00FA6157">
            <w:pPr>
              <w:pStyle w:val="table10"/>
              <w:jc w:val="center"/>
            </w:pPr>
            <w:r>
              <w:t>Наименование показателей</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A6157" w:rsidRDefault="00FA6157">
            <w:pPr>
              <w:pStyle w:val="table10"/>
              <w:jc w:val="center"/>
            </w:pPr>
            <w:r>
              <w:t>2020 год к 2019 году</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A6157" w:rsidRDefault="00FA6157">
            <w:pPr>
              <w:pStyle w:val="table10"/>
              <w:jc w:val="center"/>
            </w:pPr>
            <w:r>
              <w:t>2020 год к 2015 году</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A6157" w:rsidRDefault="00FA6157">
            <w:pPr>
              <w:pStyle w:val="table10"/>
              <w:jc w:val="center"/>
            </w:pPr>
            <w:r>
              <w:t xml:space="preserve">2021 год к 2020 году </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A6157" w:rsidRDefault="00FA6157">
            <w:pPr>
              <w:pStyle w:val="table10"/>
              <w:jc w:val="center"/>
            </w:pPr>
            <w:r>
              <w:t>2022 год к 2021 году</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A6157" w:rsidRDefault="00FA6157">
            <w:pPr>
              <w:pStyle w:val="table10"/>
              <w:jc w:val="center"/>
            </w:pPr>
            <w:r>
              <w:t>2023 год к 2022 году</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A6157" w:rsidRDefault="00FA6157">
            <w:pPr>
              <w:pStyle w:val="table10"/>
              <w:jc w:val="center"/>
            </w:pPr>
            <w:r>
              <w:t>2024 год к 2023 году</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A6157" w:rsidRDefault="00FA6157">
            <w:pPr>
              <w:pStyle w:val="table10"/>
              <w:jc w:val="center"/>
            </w:pPr>
            <w:r>
              <w:t>2025 год к 2024 году</w:t>
            </w:r>
          </w:p>
        </w:tc>
        <w:tc>
          <w:tcPr>
            <w:tcW w:w="40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A6157" w:rsidRDefault="00FA6157">
            <w:pPr>
              <w:pStyle w:val="table10"/>
              <w:jc w:val="center"/>
            </w:pPr>
            <w:r>
              <w:t>2025 год к 2020 году</w:t>
            </w:r>
          </w:p>
        </w:tc>
      </w:tr>
      <w:tr w:rsidR="00FA6157">
        <w:trPr>
          <w:trHeight w:val="240"/>
        </w:trPr>
        <w:tc>
          <w:tcPr>
            <w:tcW w:w="0" w:type="auto"/>
            <w:vMerge/>
            <w:tcBorders>
              <w:top w:val="single" w:sz="4" w:space="0" w:color="auto"/>
              <w:bottom w:val="single" w:sz="4" w:space="0" w:color="auto"/>
              <w:right w:val="single" w:sz="4" w:space="0" w:color="auto"/>
            </w:tcBorders>
            <w:vAlign w:val="center"/>
            <w:hideMark/>
          </w:tcPr>
          <w:p w:rsidR="00FA6157" w:rsidRDefault="00FA6157">
            <w:pPr>
              <w:rPr>
                <w:rFonts w:eastAsiaTheme="minorEastAsia"/>
                <w:sz w:val="20"/>
                <w:szCs w:val="20"/>
              </w:rPr>
            </w:pPr>
          </w:p>
        </w:tc>
        <w:tc>
          <w:tcPr>
            <w:tcW w:w="83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A6157" w:rsidRDefault="00FA6157">
            <w:pPr>
              <w:pStyle w:val="table10"/>
              <w:jc w:val="center"/>
            </w:pPr>
            <w:proofErr w:type="gramStart"/>
            <w:r>
              <w:t>факт</w:t>
            </w:r>
            <w:proofErr w:type="gramEnd"/>
          </w:p>
        </w:tc>
        <w:tc>
          <w:tcPr>
            <w:tcW w:w="2552"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A6157" w:rsidRDefault="00FA6157">
            <w:pPr>
              <w:pStyle w:val="table10"/>
              <w:jc w:val="center"/>
            </w:pPr>
            <w:proofErr w:type="gramStart"/>
            <w:r>
              <w:t>прогноз</w:t>
            </w:r>
            <w:proofErr w:type="gramEnd"/>
          </w:p>
        </w:tc>
      </w:tr>
      <w:tr w:rsidR="00FA6157">
        <w:trPr>
          <w:trHeight w:val="240"/>
        </w:trPr>
        <w:tc>
          <w:tcPr>
            <w:tcW w:w="1618" w:type="pct"/>
            <w:tcBorders>
              <w:top w:val="single" w:sz="4" w:space="0" w:color="auto"/>
            </w:tcBorders>
            <w:tcMar>
              <w:top w:w="0" w:type="dxa"/>
              <w:left w:w="6" w:type="dxa"/>
              <w:bottom w:w="0" w:type="dxa"/>
              <w:right w:w="6" w:type="dxa"/>
            </w:tcMar>
            <w:hideMark/>
          </w:tcPr>
          <w:p w:rsidR="00FA6157" w:rsidRDefault="00FA6157">
            <w:pPr>
              <w:pStyle w:val="table10"/>
              <w:spacing w:before="120"/>
            </w:pPr>
            <w:r>
              <w:t>ВВП</w:t>
            </w:r>
          </w:p>
        </w:tc>
        <w:tc>
          <w:tcPr>
            <w:tcW w:w="438" w:type="pct"/>
            <w:tcBorders>
              <w:top w:val="single" w:sz="4" w:space="0" w:color="auto"/>
            </w:tcBorders>
            <w:tcMar>
              <w:top w:w="0" w:type="dxa"/>
              <w:left w:w="6" w:type="dxa"/>
              <w:bottom w:w="0" w:type="dxa"/>
              <w:right w:w="6" w:type="dxa"/>
            </w:tcMar>
            <w:vAlign w:val="bottom"/>
            <w:hideMark/>
          </w:tcPr>
          <w:p w:rsidR="00FA6157" w:rsidRDefault="00FA6157">
            <w:pPr>
              <w:pStyle w:val="table10"/>
              <w:spacing w:before="120"/>
              <w:jc w:val="center"/>
            </w:pPr>
            <w:r>
              <w:t>99,1</w:t>
            </w:r>
          </w:p>
        </w:tc>
        <w:tc>
          <w:tcPr>
            <w:tcW w:w="393" w:type="pct"/>
            <w:tcBorders>
              <w:top w:val="single" w:sz="4" w:space="0" w:color="auto"/>
            </w:tcBorders>
            <w:tcMar>
              <w:top w:w="0" w:type="dxa"/>
              <w:left w:w="6" w:type="dxa"/>
              <w:bottom w:w="0" w:type="dxa"/>
              <w:right w:w="6" w:type="dxa"/>
            </w:tcMar>
            <w:vAlign w:val="bottom"/>
            <w:hideMark/>
          </w:tcPr>
          <w:p w:rsidR="00FA6157" w:rsidRDefault="00FA6157">
            <w:pPr>
              <w:pStyle w:val="table10"/>
              <w:spacing w:before="120"/>
              <w:jc w:val="center"/>
            </w:pPr>
            <w:r>
              <w:t>103,5</w:t>
            </w:r>
          </w:p>
        </w:tc>
        <w:tc>
          <w:tcPr>
            <w:tcW w:w="437" w:type="pct"/>
            <w:tcBorders>
              <w:top w:val="single" w:sz="4" w:space="0" w:color="auto"/>
            </w:tcBorders>
            <w:tcMar>
              <w:top w:w="0" w:type="dxa"/>
              <w:left w:w="6" w:type="dxa"/>
              <w:bottom w:w="0" w:type="dxa"/>
              <w:right w:w="6" w:type="dxa"/>
            </w:tcMar>
            <w:vAlign w:val="bottom"/>
            <w:hideMark/>
          </w:tcPr>
          <w:p w:rsidR="00FA6157" w:rsidRDefault="00FA6157">
            <w:pPr>
              <w:pStyle w:val="table10"/>
              <w:spacing w:before="120"/>
              <w:jc w:val="center"/>
            </w:pPr>
            <w:r>
              <w:t>101,8</w:t>
            </w:r>
          </w:p>
        </w:tc>
        <w:tc>
          <w:tcPr>
            <w:tcW w:w="437" w:type="pct"/>
            <w:tcBorders>
              <w:top w:val="single" w:sz="4" w:space="0" w:color="auto"/>
            </w:tcBorders>
            <w:tcMar>
              <w:top w:w="0" w:type="dxa"/>
              <w:left w:w="6" w:type="dxa"/>
              <w:bottom w:w="0" w:type="dxa"/>
              <w:right w:w="6" w:type="dxa"/>
            </w:tcMar>
            <w:vAlign w:val="bottom"/>
            <w:hideMark/>
          </w:tcPr>
          <w:p w:rsidR="00FA6157" w:rsidRDefault="00FA6157">
            <w:pPr>
              <w:pStyle w:val="table10"/>
              <w:spacing w:before="120"/>
              <w:jc w:val="center"/>
            </w:pPr>
            <w:r>
              <w:t>102,9</w:t>
            </w:r>
          </w:p>
        </w:tc>
        <w:tc>
          <w:tcPr>
            <w:tcW w:w="394" w:type="pct"/>
            <w:tcBorders>
              <w:top w:val="single" w:sz="4" w:space="0" w:color="auto"/>
            </w:tcBorders>
            <w:tcMar>
              <w:top w:w="0" w:type="dxa"/>
              <w:left w:w="6" w:type="dxa"/>
              <w:bottom w:w="0" w:type="dxa"/>
              <w:right w:w="6" w:type="dxa"/>
            </w:tcMar>
            <w:vAlign w:val="bottom"/>
            <w:hideMark/>
          </w:tcPr>
          <w:p w:rsidR="00FA6157" w:rsidRDefault="00FA6157">
            <w:pPr>
              <w:pStyle w:val="table10"/>
              <w:spacing w:before="120"/>
              <w:jc w:val="center"/>
            </w:pPr>
            <w:r>
              <w:t>103,8</w:t>
            </w:r>
          </w:p>
        </w:tc>
        <w:tc>
          <w:tcPr>
            <w:tcW w:w="437" w:type="pct"/>
            <w:tcBorders>
              <w:top w:val="single" w:sz="4" w:space="0" w:color="auto"/>
            </w:tcBorders>
            <w:tcMar>
              <w:top w:w="0" w:type="dxa"/>
              <w:left w:w="6" w:type="dxa"/>
              <w:bottom w:w="0" w:type="dxa"/>
              <w:right w:w="6" w:type="dxa"/>
            </w:tcMar>
            <w:vAlign w:val="bottom"/>
            <w:hideMark/>
          </w:tcPr>
          <w:p w:rsidR="00FA6157" w:rsidRDefault="00FA6157">
            <w:pPr>
              <w:pStyle w:val="table10"/>
              <w:spacing w:before="120"/>
              <w:jc w:val="center"/>
            </w:pPr>
            <w:r>
              <w:t>105,4</w:t>
            </w:r>
          </w:p>
        </w:tc>
        <w:tc>
          <w:tcPr>
            <w:tcW w:w="437" w:type="pct"/>
            <w:tcBorders>
              <w:top w:val="single" w:sz="4" w:space="0" w:color="auto"/>
            </w:tcBorders>
            <w:tcMar>
              <w:top w:w="0" w:type="dxa"/>
              <w:left w:w="6" w:type="dxa"/>
              <w:bottom w:w="0" w:type="dxa"/>
              <w:right w:w="6" w:type="dxa"/>
            </w:tcMar>
            <w:vAlign w:val="bottom"/>
            <w:hideMark/>
          </w:tcPr>
          <w:p w:rsidR="00FA6157" w:rsidRDefault="00FA6157">
            <w:pPr>
              <w:pStyle w:val="table10"/>
              <w:spacing w:before="120"/>
              <w:jc w:val="center"/>
            </w:pPr>
            <w:r>
              <w:t>106,0</w:t>
            </w:r>
          </w:p>
        </w:tc>
        <w:tc>
          <w:tcPr>
            <w:tcW w:w="409" w:type="pct"/>
            <w:tcBorders>
              <w:top w:val="single" w:sz="4" w:space="0" w:color="auto"/>
            </w:tcBorders>
            <w:tcMar>
              <w:top w:w="0" w:type="dxa"/>
              <w:left w:w="6" w:type="dxa"/>
              <w:bottom w:w="0" w:type="dxa"/>
              <w:right w:w="6" w:type="dxa"/>
            </w:tcMar>
            <w:vAlign w:val="bottom"/>
            <w:hideMark/>
          </w:tcPr>
          <w:p w:rsidR="00FA6157" w:rsidRDefault="00FA6157">
            <w:pPr>
              <w:pStyle w:val="table10"/>
              <w:spacing w:before="120"/>
              <w:jc w:val="center"/>
            </w:pPr>
            <w:r>
              <w:t>121,5</w:t>
            </w:r>
          </w:p>
        </w:tc>
      </w:tr>
      <w:tr w:rsidR="00FA6157">
        <w:trPr>
          <w:trHeight w:val="240"/>
        </w:trPr>
        <w:tc>
          <w:tcPr>
            <w:tcW w:w="1618" w:type="pct"/>
            <w:tcMar>
              <w:top w:w="0" w:type="dxa"/>
              <w:left w:w="6" w:type="dxa"/>
              <w:bottom w:w="0" w:type="dxa"/>
              <w:right w:w="6" w:type="dxa"/>
            </w:tcMar>
            <w:hideMark/>
          </w:tcPr>
          <w:p w:rsidR="00FA6157" w:rsidRDefault="00FA6157">
            <w:pPr>
              <w:pStyle w:val="table10"/>
              <w:spacing w:before="120"/>
            </w:pPr>
            <w:r>
              <w:t>Индекс потребительских цен (декабрь к декабрю)</w:t>
            </w:r>
          </w:p>
        </w:tc>
        <w:tc>
          <w:tcPr>
            <w:tcW w:w="438" w:type="pct"/>
            <w:tcMar>
              <w:top w:w="0" w:type="dxa"/>
              <w:left w:w="6" w:type="dxa"/>
              <w:bottom w:w="0" w:type="dxa"/>
              <w:right w:w="6" w:type="dxa"/>
            </w:tcMar>
            <w:vAlign w:val="bottom"/>
            <w:hideMark/>
          </w:tcPr>
          <w:p w:rsidR="00FA6157" w:rsidRDefault="00FA6157">
            <w:pPr>
              <w:pStyle w:val="table10"/>
              <w:spacing w:before="120"/>
              <w:jc w:val="center"/>
            </w:pPr>
            <w:r>
              <w:t>107,4</w:t>
            </w:r>
          </w:p>
        </w:tc>
        <w:tc>
          <w:tcPr>
            <w:tcW w:w="393" w:type="pct"/>
            <w:tcMar>
              <w:top w:w="0" w:type="dxa"/>
              <w:left w:w="6" w:type="dxa"/>
              <w:bottom w:w="0" w:type="dxa"/>
              <w:right w:w="6" w:type="dxa"/>
            </w:tcMar>
            <w:vAlign w:val="bottom"/>
            <w:hideMark/>
          </w:tcPr>
          <w:p w:rsidR="00FA6157" w:rsidRDefault="00FA6157">
            <w:pPr>
              <w:pStyle w:val="table10"/>
              <w:spacing w:before="120"/>
              <w:jc w:val="center"/>
            </w:pPr>
            <w:proofErr w:type="gramStart"/>
            <w:r>
              <w:t>х</w:t>
            </w:r>
            <w:proofErr w:type="gramEnd"/>
          </w:p>
        </w:tc>
        <w:tc>
          <w:tcPr>
            <w:tcW w:w="437" w:type="pct"/>
            <w:tcMar>
              <w:top w:w="0" w:type="dxa"/>
              <w:left w:w="6" w:type="dxa"/>
              <w:bottom w:w="0" w:type="dxa"/>
              <w:right w:w="6" w:type="dxa"/>
            </w:tcMar>
            <w:vAlign w:val="bottom"/>
            <w:hideMark/>
          </w:tcPr>
          <w:p w:rsidR="00FA6157" w:rsidRDefault="00FA6157">
            <w:pPr>
              <w:pStyle w:val="table10"/>
              <w:spacing w:before="120"/>
              <w:jc w:val="center"/>
            </w:pPr>
            <w:r>
              <w:t>105,0</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105,0</w:t>
            </w:r>
          </w:p>
        </w:tc>
        <w:tc>
          <w:tcPr>
            <w:tcW w:w="394" w:type="pct"/>
            <w:tcMar>
              <w:top w:w="0" w:type="dxa"/>
              <w:left w:w="6" w:type="dxa"/>
              <w:bottom w:w="0" w:type="dxa"/>
              <w:right w:w="6" w:type="dxa"/>
            </w:tcMar>
            <w:vAlign w:val="bottom"/>
            <w:hideMark/>
          </w:tcPr>
          <w:p w:rsidR="00FA6157" w:rsidRDefault="00FA6157">
            <w:pPr>
              <w:pStyle w:val="table10"/>
              <w:spacing w:before="120"/>
              <w:jc w:val="center"/>
            </w:pPr>
            <w:r>
              <w:t>105,0</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105,0</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105,0</w:t>
            </w:r>
          </w:p>
        </w:tc>
        <w:tc>
          <w:tcPr>
            <w:tcW w:w="409" w:type="pct"/>
            <w:tcMar>
              <w:top w:w="0" w:type="dxa"/>
              <w:left w:w="6" w:type="dxa"/>
              <w:bottom w:w="0" w:type="dxa"/>
              <w:right w:w="6" w:type="dxa"/>
            </w:tcMar>
            <w:vAlign w:val="bottom"/>
            <w:hideMark/>
          </w:tcPr>
          <w:p w:rsidR="00FA6157" w:rsidRDefault="00FA6157">
            <w:pPr>
              <w:pStyle w:val="table10"/>
              <w:spacing w:before="120"/>
              <w:jc w:val="center"/>
            </w:pPr>
            <w:proofErr w:type="gramStart"/>
            <w:r>
              <w:t>х</w:t>
            </w:r>
            <w:proofErr w:type="gramEnd"/>
          </w:p>
        </w:tc>
      </w:tr>
      <w:tr w:rsidR="00FA6157">
        <w:trPr>
          <w:trHeight w:val="240"/>
        </w:trPr>
        <w:tc>
          <w:tcPr>
            <w:tcW w:w="1618" w:type="pct"/>
            <w:tcMar>
              <w:top w:w="0" w:type="dxa"/>
              <w:left w:w="6" w:type="dxa"/>
              <w:bottom w:w="0" w:type="dxa"/>
              <w:right w:w="6" w:type="dxa"/>
            </w:tcMar>
            <w:hideMark/>
          </w:tcPr>
          <w:p w:rsidR="00FA6157" w:rsidRDefault="00FA6157">
            <w:pPr>
              <w:pStyle w:val="table10"/>
              <w:spacing w:before="120"/>
            </w:pPr>
            <w:r>
              <w:t>Производительность труда по ВВП</w:t>
            </w:r>
          </w:p>
        </w:tc>
        <w:tc>
          <w:tcPr>
            <w:tcW w:w="438" w:type="pct"/>
            <w:tcMar>
              <w:top w:w="0" w:type="dxa"/>
              <w:left w:w="6" w:type="dxa"/>
              <w:bottom w:w="0" w:type="dxa"/>
              <w:right w:w="6" w:type="dxa"/>
            </w:tcMar>
            <w:vAlign w:val="bottom"/>
            <w:hideMark/>
          </w:tcPr>
          <w:p w:rsidR="00FA6157" w:rsidRDefault="00FA6157">
            <w:pPr>
              <w:pStyle w:val="table10"/>
              <w:spacing w:before="120"/>
              <w:jc w:val="center"/>
            </w:pPr>
            <w:r>
              <w:t>99,5</w:t>
            </w:r>
          </w:p>
        </w:tc>
        <w:tc>
          <w:tcPr>
            <w:tcW w:w="393" w:type="pct"/>
            <w:tcMar>
              <w:top w:w="0" w:type="dxa"/>
              <w:left w:w="6" w:type="dxa"/>
              <w:bottom w:w="0" w:type="dxa"/>
              <w:right w:w="6" w:type="dxa"/>
            </w:tcMar>
            <w:vAlign w:val="bottom"/>
            <w:hideMark/>
          </w:tcPr>
          <w:p w:rsidR="00FA6157" w:rsidRDefault="00FA6157">
            <w:pPr>
              <w:pStyle w:val="table10"/>
              <w:spacing w:before="120"/>
              <w:jc w:val="center"/>
            </w:pPr>
            <w:r>
              <w:t>107,9</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101,9</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103,0</w:t>
            </w:r>
          </w:p>
        </w:tc>
        <w:tc>
          <w:tcPr>
            <w:tcW w:w="394" w:type="pct"/>
            <w:tcMar>
              <w:top w:w="0" w:type="dxa"/>
              <w:left w:w="6" w:type="dxa"/>
              <w:bottom w:w="0" w:type="dxa"/>
              <w:right w:w="6" w:type="dxa"/>
            </w:tcMar>
            <w:vAlign w:val="bottom"/>
            <w:hideMark/>
          </w:tcPr>
          <w:p w:rsidR="00FA6157" w:rsidRDefault="00FA6157">
            <w:pPr>
              <w:pStyle w:val="table10"/>
              <w:spacing w:before="120"/>
              <w:jc w:val="center"/>
            </w:pPr>
            <w:r>
              <w:t>104,2</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105,6</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106,1</w:t>
            </w:r>
          </w:p>
        </w:tc>
        <w:tc>
          <w:tcPr>
            <w:tcW w:w="409" w:type="pct"/>
            <w:tcMar>
              <w:top w:w="0" w:type="dxa"/>
              <w:left w:w="6" w:type="dxa"/>
              <w:bottom w:w="0" w:type="dxa"/>
              <w:right w:w="6" w:type="dxa"/>
            </w:tcMar>
            <w:vAlign w:val="bottom"/>
            <w:hideMark/>
          </w:tcPr>
          <w:p w:rsidR="00FA6157" w:rsidRDefault="00FA6157">
            <w:pPr>
              <w:pStyle w:val="table10"/>
              <w:spacing w:before="120"/>
              <w:jc w:val="center"/>
            </w:pPr>
            <w:r>
              <w:t>122,5</w:t>
            </w:r>
          </w:p>
        </w:tc>
      </w:tr>
      <w:tr w:rsidR="00FA6157">
        <w:trPr>
          <w:trHeight w:val="240"/>
        </w:trPr>
        <w:tc>
          <w:tcPr>
            <w:tcW w:w="1618" w:type="pct"/>
            <w:tcMar>
              <w:top w:w="0" w:type="dxa"/>
              <w:left w:w="6" w:type="dxa"/>
              <w:bottom w:w="0" w:type="dxa"/>
              <w:right w:w="6" w:type="dxa"/>
            </w:tcMar>
            <w:hideMark/>
          </w:tcPr>
          <w:p w:rsidR="00FA6157" w:rsidRDefault="00FA6157">
            <w:pPr>
              <w:pStyle w:val="table10"/>
              <w:spacing w:before="120"/>
            </w:pPr>
            <w:r>
              <w:t>Рост валовой добавленной стоимости:</w:t>
            </w:r>
          </w:p>
        </w:tc>
        <w:tc>
          <w:tcPr>
            <w:tcW w:w="438" w:type="pct"/>
            <w:tcMar>
              <w:top w:w="0" w:type="dxa"/>
              <w:left w:w="6" w:type="dxa"/>
              <w:bottom w:w="0" w:type="dxa"/>
              <w:right w:w="6" w:type="dxa"/>
            </w:tcMar>
            <w:vAlign w:val="bottom"/>
            <w:hideMark/>
          </w:tcPr>
          <w:p w:rsidR="00FA6157" w:rsidRDefault="00FA6157">
            <w:pPr>
              <w:pStyle w:val="table10"/>
              <w:spacing w:before="120"/>
              <w:jc w:val="center"/>
            </w:pPr>
            <w:r>
              <w:t> </w:t>
            </w:r>
          </w:p>
        </w:tc>
        <w:tc>
          <w:tcPr>
            <w:tcW w:w="393" w:type="pct"/>
            <w:tcMar>
              <w:top w:w="0" w:type="dxa"/>
              <w:left w:w="6" w:type="dxa"/>
              <w:bottom w:w="0" w:type="dxa"/>
              <w:right w:w="6" w:type="dxa"/>
            </w:tcMar>
            <w:vAlign w:val="bottom"/>
            <w:hideMark/>
          </w:tcPr>
          <w:p w:rsidR="00FA6157" w:rsidRDefault="00FA6157">
            <w:pPr>
              <w:pStyle w:val="table10"/>
              <w:spacing w:before="120"/>
              <w:jc w:val="center"/>
            </w:pPr>
            <w:r>
              <w:t> </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 </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 </w:t>
            </w:r>
          </w:p>
        </w:tc>
        <w:tc>
          <w:tcPr>
            <w:tcW w:w="394" w:type="pct"/>
            <w:tcMar>
              <w:top w:w="0" w:type="dxa"/>
              <w:left w:w="6" w:type="dxa"/>
              <w:bottom w:w="0" w:type="dxa"/>
              <w:right w:w="6" w:type="dxa"/>
            </w:tcMar>
            <w:vAlign w:val="bottom"/>
            <w:hideMark/>
          </w:tcPr>
          <w:p w:rsidR="00FA6157" w:rsidRDefault="00FA6157">
            <w:pPr>
              <w:pStyle w:val="table10"/>
              <w:spacing w:before="120"/>
              <w:jc w:val="center"/>
            </w:pPr>
            <w:r>
              <w:t> </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 </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 </w:t>
            </w:r>
          </w:p>
        </w:tc>
        <w:tc>
          <w:tcPr>
            <w:tcW w:w="409" w:type="pct"/>
            <w:tcMar>
              <w:top w:w="0" w:type="dxa"/>
              <w:left w:w="6" w:type="dxa"/>
              <w:bottom w:w="0" w:type="dxa"/>
              <w:right w:w="6" w:type="dxa"/>
            </w:tcMar>
            <w:vAlign w:val="bottom"/>
            <w:hideMark/>
          </w:tcPr>
          <w:p w:rsidR="00FA6157" w:rsidRDefault="00FA6157">
            <w:pPr>
              <w:pStyle w:val="table10"/>
              <w:spacing w:before="120"/>
              <w:jc w:val="center"/>
            </w:pPr>
            <w:r>
              <w:t> </w:t>
            </w:r>
          </w:p>
        </w:tc>
      </w:tr>
      <w:tr w:rsidR="00FA6157">
        <w:trPr>
          <w:trHeight w:val="240"/>
        </w:trPr>
        <w:tc>
          <w:tcPr>
            <w:tcW w:w="1618" w:type="pct"/>
            <w:tcMar>
              <w:top w:w="0" w:type="dxa"/>
              <w:left w:w="6" w:type="dxa"/>
              <w:bottom w:w="0" w:type="dxa"/>
              <w:right w:w="6" w:type="dxa"/>
            </w:tcMar>
            <w:hideMark/>
          </w:tcPr>
          <w:p w:rsidR="00FA6157" w:rsidRDefault="00FA6157">
            <w:pPr>
              <w:pStyle w:val="table10"/>
              <w:spacing w:before="120"/>
              <w:ind w:left="283"/>
            </w:pPr>
            <w:proofErr w:type="gramStart"/>
            <w:r>
              <w:t>продукции</w:t>
            </w:r>
            <w:proofErr w:type="gramEnd"/>
            <w:r>
              <w:t xml:space="preserve"> промышленности</w:t>
            </w:r>
          </w:p>
        </w:tc>
        <w:tc>
          <w:tcPr>
            <w:tcW w:w="438" w:type="pct"/>
            <w:tcMar>
              <w:top w:w="0" w:type="dxa"/>
              <w:left w:w="6" w:type="dxa"/>
              <w:bottom w:w="0" w:type="dxa"/>
              <w:right w:w="6" w:type="dxa"/>
            </w:tcMar>
            <w:vAlign w:val="bottom"/>
            <w:hideMark/>
          </w:tcPr>
          <w:p w:rsidR="00FA6157" w:rsidRDefault="00FA6157">
            <w:pPr>
              <w:pStyle w:val="table10"/>
              <w:spacing w:before="120"/>
              <w:jc w:val="center"/>
            </w:pPr>
            <w:r>
              <w:t>99,6</w:t>
            </w:r>
          </w:p>
        </w:tc>
        <w:tc>
          <w:tcPr>
            <w:tcW w:w="393" w:type="pct"/>
            <w:tcMar>
              <w:top w:w="0" w:type="dxa"/>
              <w:left w:w="6" w:type="dxa"/>
              <w:bottom w:w="0" w:type="dxa"/>
              <w:right w:w="6" w:type="dxa"/>
            </w:tcMar>
            <w:vAlign w:val="bottom"/>
            <w:hideMark/>
          </w:tcPr>
          <w:p w:rsidR="00FA6157" w:rsidRDefault="00FA6157">
            <w:pPr>
              <w:pStyle w:val="table10"/>
              <w:spacing w:before="120"/>
              <w:jc w:val="center"/>
            </w:pPr>
            <w:r>
              <w:t>111,5</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103,0</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103,7</w:t>
            </w:r>
          </w:p>
        </w:tc>
        <w:tc>
          <w:tcPr>
            <w:tcW w:w="394" w:type="pct"/>
            <w:tcMar>
              <w:top w:w="0" w:type="dxa"/>
              <w:left w:w="6" w:type="dxa"/>
              <w:bottom w:w="0" w:type="dxa"/>
              <w:right w:w="6" w:type="dxa"/>
            </w:tcMar>
            <w:vAlign w:val="bottom"/>
            <w:hideMark/>
          </w:tcPr>
          <w:p w:rsidR="00FA6157" w:rsidRDefault="00FA6157">
            <w:pPr>
              <w:pStyle w:val="table10"/>
              <w:spacing w:before="120"/>
              <w:jc w:val="center"/>
            </w:pPr>
            <w:r>
              <w:t>104,7</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105,4</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105,7</w:t>
            </w:r>
          </w:p>
        </w:tc>
        <w:tc>
          <w:tcPr>
            <w:tcW w:w="409" w:type="pct"/>
            <w:tcMar>
              <w:top w:w="0" w:type="dxa"/>
              <w:left w:w="6" w:type="dxa"/>
              <w:bottom w:w="0" w:type="dxa"/>
              <w:right w:w="6" w:type="dxa"/>
            </w:tcMar>
            <w:vAlign w:val="bottom"/>
            <w:hideMark/>
          </w:tcPr>
          <w:p w:rsidR="00FA6157" w:rsidRDefault="00FA6157">
            <w:pPr>
              <w:pStyle w:val="table10"/>
              <w:spacing w:before="120"/>
              <w:jc w:val="center"/>
            </w:pPr>
            <w:r>
              <w:t>124,6</w:t>
            </w:r>
          </w:p>
        </w:tc>
      </w:tr>
      <w:tr w:rsidR="00FA6157">
        <w:trPr>
          <w:trHeight w:val="240"/>
        </w:trPr>
        <w:tc>
          <w:tcPr>
            <w:tcW w:w="1618" w:type="pct"/>
            <w:tcMar>
              <w:top w:w="0" w:type="dxa"/>
              <w:left w:w="6" w:type="dxa"/>
              <w:bottom w:w="0" w:type="dxa"/>
              <w:right w:w="6" w:type="dxa"/>
            </w:tcMar>
            <w:hideMark/>
          </w:tcPr>
          <w:p w:rsidR="00FA6157" w:rsidRDefault="00FA6157">
            <w:pPr>
              <w:pStyle w:val="table10"/>
              <w:spacing w:before="120"/>
              <w:ind w:left="283"/>
            </w:pPr>
            <w:proofErr w:type="gramStart"/>
            <w:r>
              <w:t>продукции</w:t>
            </w:r>
            <w:proofErr w:type="gramEnd"/>
            <w:r>
              <w:t xml:space="preserve"> сельского хозяйства (в хозяйствах всех категорий)</w:t>
            </w:r>
          </w:p>
        </w:tc>
        <w:tc>
          <w:tcPr>
            <w:tcW w:w="438" w:type="pct"/>
            <w:tcMar>
              <w:top w:w="0" w:type="dxa"/>
              <w:left w:w="6" w:type="dxa"/>
              <w:bottom w:w="0" w:type="dxa"/>
              <w:right w:w="6" w:type="dxa"/>
            </w:tcMar>
            <w:vAlign w:val="bottom"/>
            <w:hideMark/>
          </w:tcPr>
          <w:p w:rsidR="00FA6157" w:rsidRDefault="00FA6157">
            <w:pPr>
              <w:pStyle w:val="table10"/>
              <w:spacing w:before="120"/>
              <w:jc w:val="center"/>
            </w:pPr>
            <w:r>
              <w:t>105,3</w:t>
            </w:r>
          </w:p>
        </w:tc>
        <w:tc>
          <w:tcPr>
            <w:tcW w:w="393" w:type="pct"/>
            <w:tcMar>
              <w:top w:w="0" w:type="dxa"/>
              <w:left w:w="6" w:type="dxa"/>
              <w:bottom w:w="0" w:type="dxa"/>
              <w:right w:w="6" w:type="dxa"/>
            </w:tcMar>
            <w:vAlign w:val="bottom"/>
            <w:hideMark/>
          </w:tcPr>
          <w:p w:rsidR="00FA6157" w:rsidRDefault="00FA6157">
            <w:pPr>
              <w:pStyle w:val="table10"/>
              <w:spacing w:before="120"/>
              <w:jc w:val="center"/>
            </w:pPr>
            <w:r>
              <w:t>113,3</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102,6</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102,7</w:t>
            </w:r>
          </w:p>
        </w:tc>
        <w:tc>
          <w:tcPr>
            <w:tcW w:w="394" w:type="pct"/>
            <w:tcMar>
              <w:top w:w="0" w:type="dxa"/>
              <w:left w:w="6" w:type="dxa"/>
              <w:bottom w:w="0" w:type="dxa"/>
              <w:right w:w="6" w:type="dxa"/>
            </w:tcMar>
            <w:vAlign w:val="bottom"/>
            <w:hideMark/>
          </w:tcPr>
          <w:p w:rsidR="00FA6157" w:rsidRDefault="00FA6157">
            <w:pPr>
              <w:pStyle w:val="table10"/>
              <w:spacing w:before="120"/>
              <w:jc w:val="center"/>
            </w:pPr>
            <w:r>
              <w:t>102,8</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103,1</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103,5</w:t>
            </w:r>
          </w:p>
        </w:tc>
        <w:tc>
          <w:tcPr>
            <w:tcW w:w="409" w:type="pct"/>
            <w:tcMar>
              <w:top w:w="0" w:type="dxa"/>
              <w:left w:w="6" w:type="dxa"/>
              <w:bottom w:w="0" w:type="dxa"/>
              <w:right w:w="6" w:type="dxa"/>
            </w:tcMar>
            <w:vAlign w:val="bottom"/>
            <w:hideMark/>
          </w:tcPr>
          <w:p w:rsidR="00FA6157" w:rsidRDefault="00FA6157">
            <w:pPr>
              <w:pStyle w:val="table10"/>
              <w:spacing w:before="120"/>
              <w:jc w:val="center"/>
            </w:pPr>
            <w:r>
              <w:t>115,6</w:t>
            </w:r>
          </w:p>
        </w:tc>
      </w:tr>
      <w:tr w:rsidR="00FA6157">
        <w:trPr>
          <w:trHeight w:val="240"/>
        </w:trPr>
        <w:tc>
          <w:tcPr>
            <w:tcW w:w="1618" w:type="pct"/>
            <w:tcMar>
              <w:top w:w="0" w:type="dxa"/>
              <w:left w:w="6" w:type="dxa"/>
              <w:bottom w:w="0" w:type="dxa"/>
              <w:right w:w="6" w:type="dxa"/>
            </w:tcMar>
            <w:hideMark/>
          </w:tcPr>
          <w:p w:rsidR="00FA6157" w:rsidRDefault="00FA6157">
            <w:pPr>
              <w:pStyle w:val="table10"/>
              <w:spacing w:before="120"/>
            </w:pPr>
            <w:r>
              <w:t>Объем строительно-монтажных работ</w:t>
            </w:r>
          </w:p>
        </w:tc>
        <w:tc>
          <w:tcPr>
            <w:tcW w:w="438" w:type="pct"/>
            <w:tcMar>
              <w:top w:w="0" w:type="dxa"/>
              <w:left w:w="6" w:type="dxa"/>
              <w:bottom w:w="0" w:type="dxa"/>
              <w:right w:w="6" w:type="dxa"/>
            </w:tcMar>
            <w:vAlign w:val="bottom"/>
            <w:hideMark/>
          </w:tcPr>
          <w:p w:rsidR="00FA6157" w:rsidRDefault="00FA6157">
            <w:pPr>
              <w:pStyle w:val="table10"/>
              <w:spacing w:before="120"/>
              <w:jc w:val="center"/>
            </w:pPr>
            <w:r>
              <w:t>101,4</w:t>
            </w:r>
          </w:p>
        </w:tc>
        <w:tc>
          <w:tcPr>
            <w:tcW w:w="393" w:type="pct"/>
            <w:tcMar>
              <w:top w:w="0" w:type="dxa"/>
              <w:left w:w="6" w:type="dxa"/>
              <w:bottom w:w="0" w:type="dxa"/>
              <w:right w:w="6" w:type="dxa"/>
            </w:tcMar>
            <w:vAlign w:val="bottom"/>
            <w:hideMark/>
          </w:tcPr>
          <w:p w:rsidR="00FA6157" w:rsidRDefault="00FA6157">
            <w:pPr>
              <w:pStyle w:val="table10"/>
              <w:spacing w:before="120"/>
              <w:jc w:val="center"/>
            </w:pPr>
            <w:r>
              <w:t>88,9</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102,0</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103,7</w:t>
            </w:r>
          </w:p>
        </w:tc>
        <w:tc>
          <w:tcPr>
            <w:tcW w:w="394" w:type="pct"/>
            <w:tcMar>
              <w:top w:w="0" w:type="dxa"/>
              <w:left w:w="6" w:type="dxa"/>
              <w:bottom w:w="0" w:type="dxa"/>
              <w:right w:w="6" w:type="dxa"/>
            </w:tcMar>
            <w:vAlign w:val="bottom"/>
            <w:hideMark/>
          </w:tcPr>
          <w:p w:rsidR="00FA6157" w:rsidRDefault="00FA6157">
            <w:pPr>
              <w:pStyle w:val="table10"/>
              <w:spacing w:before="120"/>
              <w:jc w:val="center"/>
            </w:pPr>
            <w:r>
              <w:t>104,3</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105,4</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105,8</w:t>
            </w:r>
          </w:p>
        </w:tc>
        <w:tc>
          <w:tcPr>
            <w:tcW w:w="409" w:type="pct"/>
            <w:tcMar>
              <w:top w:w="0" w:type="dxa"/>
              <w:left w:w="6" w:type="dxa"/>
              <w:bottom w:w="0" w:type="dxa"/>
              <w:right w:w="6" w:type="dxa"/>
            </w:tcMar>
            <w:vAlign w:val="bottom"/>
            <w:hideMark/>
          </w:tcPr>
          <w:p w:rsidR="00FA6157" w:rsidRDefault="00FA6157">
            <w:pPr>
              <w:pStyle w:val="table10"/>
              <w:spacing w:before="120"/>
              <w:jc w:val="center"/>
            </w:pPr>
            <w:r>
              <w:t>123,0</w:t>
            </w:r>
          </w:p>
        </w:tc>
      </w:tr>
      <w:tr w:rsidR="00FA6157">
        <w:trPr>
          <w:trHeight w:val="240"/>
        </w:trPr>
        <w:tc>
          <w:tcPr>
            <w:tcW w:w="1618" w:type="pct"/>
            <w:tcMar>
              <w:top w:w="0" w:type="dxa"/>
              <w:left w:w="6" w:type="dxa"/>
              <w:bottom w:w="0" w:type="dxa"/>
              <w:right w:w="6" w:type="dxa"/>
            </w:tcMar>
            <w:hideMark/>
          </w:tcPr>
          <w:p w:rsidR="00FA6157" w:rsidRDefault="00FA6157">
            <w:pPr>
              <w:pStyle w:val="table10"/>
              <w:spacing w:before="120"/>
            </w:pPr>
            <w:r>
              <w:t>Инвестиции в основной капитал</w:t>
            </w:r>
          </w:p>
        </w:tc>
        <w:tc>
          <w:tcPr>
            <w:tcW w:w="438" w:type="pct"/>
            <w:tcMar>
              <w:top w:w="0" w:type="dxa"/>
              <w:left w:w="6" w:type="dxa"/>
              <w:bottom w:w="0" w:type="dxa"/>
              <w:right w:w="6" w:type="dxa"/>
            </w:tcMar>
            <w:vAlign w:val="bottom"/>
            <w:hideMark/>
          </w:tcPr>
          <w:p w:rsidR="00FA6157" w:rsidRDefault="00FA6157">
            <w:pPr>
              <w:pStyle w:val="table10"/>
              <w:spacing w:before="120"/>
              <w:jc w:val="center"/>
            </w:pPr>
            <w:r>
              <w:t>93,6*</w:t>
            </w:r>
          </w:p>
        </w:tc>
        <w:tc>
          <w:tcPr>
            <w:tcW w:w="393" w:type="pct"/>
            <w:tcMar>
              <w:top w:w="0" w:type="dxa"/>
              <w:left w:w="6" w:type="dxa"/>
              <w:bottom w:w="0" w:type="dxa"/>
              <w:right w:w="6" w:type="dxa"/>
            </w:tcMar>
            <w:vAlign w:val="bottom"/>
            <w:hideMark/>
          </w:tcPr>
          <w:p w:rsidR="00FA6157" w:rsidRDefault="00FA6157">
            <w:pPr>
              <w:pStyle w:val="table10"/>
              <w:spacing w:before="120"/>
              <w:jc w:val="center"/>
            </w:pPr>
            <w:r>
              <w:t>91,8</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102,0</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103,8</w:t>
            </w:r>
          </w:p>
        </w:tc>
        <w:tc>
          <w:tcPr>
            <w:tcW w:w="394" w:type="pct"/>
            <w:tcMar>
              <w:top w:w="0" w:type="dxa"/>
              <w:left w:w="6" w:type="dxa"/>
              <w:bottom w:w="0" w:type="dxa"/>
              <w:right w:w="6" w:type="dxa"/>
            </w:tcMar>
            <w:vAlign w:val="bottom"/>
            <w:hideMark/>
          </w:tcPr>
          <w:p w:rsidR="00FA6157" w:rsidRDefault="00FA6157">
            <w:pPr>
              <w:pStyle w:val="table10"/>
              <w:spacing w:before="120"/>
              <w:jc w:val="center"/>
            </w:pPr>
            <w:r>
              <w:t>104,0</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105,5</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104,7</w:t>
            </w:r>
          </w:p>
        </w:tc>
        <w:tc>
          <w:tcPr>
            <w:tcW w:w="409" w:type="pct"/>
            <w:tcMar>
              <w:top w:w="0" w:type="dxa"/>
              <w:left w:w="6" w:type="dxa"/>
              <w:bottom w:w="0" w:type="dxa"/>
              <w:right w:w="6" w:type="dxa"/>
            </w:tcMar>
            <w:vAlign w:val="bottom"/>
            <w:hideMark/>
          </w:tcPr>
          <w:p w:rsidR="00FA6157" w:rsidRDefault="00FA6157">
            <w:pPr>
              <w:pStyle w:val="table10"/>
              <w:spacing w:before="120"/>
              <w:jc w:val="center"/>
            </w:pPr>
            <w:r>
              <w:t>121,6</w:t>
            </w:r>
          </w:p>
        </w:tc>
      </w:tr>
      <w:tr w:rsidR="00FA6157">
        <w:trPr>
          <w:trHeight w:val="240"/>
        </w:trPr>
        <w:tc>
          <w:tcPr>
            <w:tcW w:w="1618" w:type="pct"/>
            <w:tcMar>
              <w:top w:w="0" w:type="dxa"/>
              <w:left w:w="6" w:type="dxa"/>
              <w:bottom w:w="0" w:type="dxa"/>
              <w:right w:w="6" w:type="dxa"/>
            </w:tcMar>
            <w:hideMark/>
          </w:tcPr>
          <w:p w:rsidR="00FA6157" w:rsidRDefault="00FA6157">
            <w:pPr>
              <w:pStyle w:val="table10"/>
              <w:spacing w:before="120"/>
            </w:pPr>
            <w:r>
              <w:t>Ввод в эксплуатацию жилья, млн. кв. метров</w:t>
            </w:r>
          </w:p>
        </w:tc>
        <w:tc>
          <w:tcPr>
            <w:tcW w:w="438" w:type="pct"/>
            <w:tcMar>
              <w:top w:w="0" w:type="dxa"/>
              <w:left w:w="6" w:type="dxa"/>
              <w:bottom w:w="0" w:type="dxa"/>
              <w:right w:w="6" w:type="dxa"/>
            </w:tcMar>
            <w:vAlign w:val="bottom"/>
            <w:hideMark/>
          </w:tcPr>
          <w:p w:rsidR="00FA6157" w:rsidRDefault="00FA6157">
            <w:pPr>
              <w:pStyle w:val="table10"/>
              <w:spacing w:before="120"/>
              <w:jc w:val="center"/>
            </w:pPr>
            <w:r>
              <w:t>4,2</w:t>
            </w:r>
          </w:p>
        </w:tc>
        <w:tc>
          <w:tcPr>
            <w:tcW w:w="393" w:type="pct"/>
            <w:tcMar>
              <w:top w:w="0" w:type="dxa"/>
              <w:left w:w="6" w:type="dxa"/>
              <w:bottom w:w="0" w:type="dxa"/>
              <w:right w:w="6" w:type="dxa"/>
            </w:tcMar>
            <w:vAlign w:val="bottom"/>
            <w:hideMark/>
          </w:tcPr>
          <w:p w:rsidR="00FA6157" w:rsidRDefault="00FA6157">
            <w:pPr>
              <w:pStyle w:val="table10"/>
              <w:spacing w:before="120"/>
              <w:jc w:val="center"/>
            </w:pPr>
            <w:r>
              <w:t>20,3**</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4,0</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4,2</w:t>
            </w:r>
          </w:p>
        </w:tc>
        <w:tc>
          <w:tcPr>
            <w:tcW w:w="394" w:type="pct"/>
            <w:tcMar>
              <w:top w:w="0" w:type="dxa"/>
              <w:left w:w="6" w:type="dxa"/>
              <w:bottom w:w="0" w:type="dxa"/>
              <w:right w:w="6" w:type="dxa"/>
            </w:tcMar>
            <w:vAlign w:val="bottom"/>
            <w:hideMark/>
          </w:tcPr>
          <w:p w:rsidR="00FA6157" w:rsidRDefault="00FA6157">
            <w:pPr>
              <w:pStyle w:val="table10"/>
              <w:spacing w:before="120"/>
              <w:jc w:val="center"/>
            </w:pPr>
            <w:r>
              <w:t>4,3</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4,4</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4,5</w:t>
            </w:r>
          </w:p>
        </w:tc>
        <w:tc>
          <w:tcPr>
            <w:tcW w:w="409" w:type="pct"/>
            <w:tcMar>
              <w:top w:w="0" w:type="dxa"/>
              <w:left w:w="6" w:type="dxa"/>
              <w:bottom w:w="0" w:type="dxa"/>
              <w:right w:w="6" w:type="dxa"/>
            </w:tcMar>
            <w:vAlign w:val="bottom"/>
            <w:hideMark/>
          </w:tcPr>
          <w:p w:rsidR="00FA6157" w:rsidRDefault="00FA6157">
            <w:pPr>
              <w:pStyle w:val="table10"/>
              <w:spacing w:before="120"/>
              <w:jc w:val="center"/>
            </w:pPr>
            <w:r>
              <w:t>21,4**</w:t>
            </w:r>
          </w:p>
        </w:tc>
      </w:tr>
      <w:tr w:rsidR="00FA6157">
        <w:trPr>
          <w:trHeight w:val="240"/>
        </w:trPr>
        <w:tc>
          <w:tcPr>
            <w:tcW w:w="1618" w:type="pct"/>
            <w:tcMar>
              <w:top w:w="0" w:type="dxa"/>
              <w:left w:w="6" w:type="dxa"/>
              <w:bottom w:w="0" w:type="dxa"/>
              <w:right w:w="6" w:type="dxa"/>
            </w:tcMar>
            <w:hideMark/>
          </w:tcPr>
          <w:p w:rsidR="00FA6157" w:rsidRDefault="00FA6157">
            <w:pPr>
              <w:pStyle w:val="table10"/>
              <w:spacing w:before="120"/>
            </w:pPr>
            <w:r>
              <w:t>Экспорт товаров и услуг</w:t>
            </w:r>
          </w:p>
        </w:tc>
        <w:tc>
          <w:tcPr>
            <w:tcW w:w="438" w:type="pct"/>
            <w:tcMar>
              <w:top w:w="0" w:type="dxa"/>
              <w:left w:w="6" w:type="dxa"/>
              <w:bottom w:w="0" w:type="dxa"/>
              <w:right w:w="6" w:type="dxa"/>
            </w:tcMar>
            <w:vAlign w:val="bottom"/>
            <w:hideMark/>
          </w:tcPr>
          <w:p w:rsidR="00FA6157" w:rsidRDefault="00FA6157">
            <w:pPr>
              <w:pStyle w:val="table10"/>
              <w:spacing w:before="120"/>
              <w:jc w:val="center"/>
            </w:pPr>
            <w:r>
              <w:t>88,2</w:t>
            </w:r>
          </w:p>
        </w:tc>
        <w:tc>
          <w:tcPr>
            <w:tcW w:w="393" w:type="pct"/>
            <w:tcMar>
              <w:top w:w="0" w:type="dxa"/>
              <w:left w:w="6" w:type="dxa"/>
              <w:bottom w:w="0" w:type="dxa"/>
              <w:right w:w="6" w:type="dxa"/>
            </w:tcMar>
            <w:vAlign w:val="bottom"/>
            <w:hideMark/>
          </w:tcPr>
          <w:p w:rsidR="00FA6157" w:rsidRDefault="00FA6157">
            <w:pPr>
              <w:pStyle w:val="table10"/>
              <w:spacing w:before="120"/>
              <w:jc w:val="center"/>
            </w:pPr>
            <w:r>
              <w:t>112,7</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105,7</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105,8</w:t>
            </w:r>
          </w:p>
        </w:tc>
        <w:tc>
          <w:tcPr>
            <w:tcW w:w="394" w:type="pct"/>
            <w:tcMar>
              <w:top w:w="0" w:type="dxa"/>
              <w:left w:w="6" w:type="dxa"/>
              <w:bottom w:w="0" w:type="dxa"/>
              <w:right w:w="6" w:type="dxa"/>
            </w:tcMar>
            <w:vAlign w:val="bottom"/>
            <w:hideMark/>
          </w:tcPr>
          <w:p w:rsidR="00FA6157" w:rsidRDefault="00FA6157">
            <w:pPr>
              <w:pStyle w:val="table10"/>
              <w:spacing w:before="120"/>
              <w:jc w:val="center"/>
            </w:pPr>
            <w:r>
              <w:t>106,4</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106,1</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107,9</w:t>
            </w:r>
          </w:p>
        </w:tc>
        <w:tc>
          <w:tcPr>
            <w:tcW w:w="409" w:type="pct"/>
            <w:tcMar>
              <w:top w:w="0" w:type="dxa"/>
              <w:left w:w="6" w:type="dxa"/>
              <w:bottom w:w="0" w:type="dxa"/>
              <w:right w:w="6" w:type="dxa"/>
            </w:tcMar>
            <w:vAlign w:val="bottom"/>
            <w:hideMark/>
          </w:tcPr>
          <w:p w:rsidR="00FA6157" w:rsidRDefault="00FA6157">
            <w:pPr>
              <w:pStyle w:val="table10"/>
              <w:spacing w:before="120"/>
              <w:jc w:val="center"/>
            </w:pPr>
            <w:r>
              <w:t>136,3</w:t>
            </w:r>
          </w:p>
        </w:tc>
      </w:tr>
      <w:tr w:rsidR="00FA6157">
        <w:trPr>
          <w:trHeight w:val="240"/>
        </w:trPr>
        <w:tc>
          <w:tcPr>
            <w:tcW w:w="1618" w:type="pct"/>
            <w:tcMar>
              <w:top w:w="0" w:type="dxa"/>
              <w:left w:w="6" w:type="dxa"/>
              <w:bottom w:w="0" w:type="dxa"/>
              <w:right w:w="6" w:type="dxa"/>
            </w:tcMar>
            <w:hideMark/>
          </w:tcPr>
          <w:p w:rsidR="00FA6157" w:rsidRDefault="00FA6157">
            <w:pPr>
              <w:pStyle w:val="table10"/>
              <w:spacing w:before="120"/>
            </w:pPr>
            <w:r>
              <w:t>Сальдо внешней торговли товарами и услугами к ВВП</w:t>
            </w:r>
          </w:p>
        </w:tc>
        <w:tc>
          <w:tcPr>
            <w:tcW w:w="438" w:type="pct"/>
            <w:tcMar>
              <w:top w:w="0" w:type="dxa"/>
              <w:left w:w="6" w:type="dxa"/>
              <w:bottom w:w="0" w:type="dxa"/>
              <w:right w:w="6" w:type="dxa"/>
            </w:tcMar>
            <w:vAlign w:val="bottom"/>
            <w:hideMark/>
          </w:tcPr>
          <w:p w:rsidR="00FA6157" w:rsidRDefault="00FA6157">
            <w:pPr>
              <w:pStyle w:val="table10"/>
              <w:spacing w:before="120"/>
              <w:jc w:val="center"/>
            </w:pPr>
            <w:r>
              <w:t>3,1</w:t>
            </w:r>
          </w:p>
        </w:tc>
        <w:tc>
          <w:tcPr>
            <w:tcW w:w="393" w:type="pct"/>
            <w:tcMar>
              <w:top w:w="0" w:type="dxa"/>
              <w:left w:w="6" w:type="dxa"/>
              <w:bottom w:w="0" w:type="dxa"/>
              <w:right w:w="6" w:type="dxa"/>
            </w:tcMar>
            <w:vAlign w:val="bottom"/>
            <w:hideMark/>
          </w:tcPr>
          <w:p w:rsidR="00FA6157" w:rsidRDefault="00FA6157">
            <w:pPr>
              <w:pStyle w:val="table10"/>
              <w:spacing w:before="120"/>
              <w:jc w:val="center"/>
            </w:pPr>
            <w:proofErr w:type="gramStart"/>
            <w:r>
              <w:t>х</w:t>
            </w:r>
            <w:proofErr w:type="gramEnd"/>
          </w:p>
        </w:tc>
        <w:tc>
          <w:tcPr>
            <w:tcW w:w="437" w:type="pct"/>
            <w:tcMar>
              <w:top w:w="0" w:type="dxa"/>
              <w:left w:w="6" w:type="dxa"/>
              <w:bottom w:w="0" w:type="dxa"/>
              <w:right w:w="6" w:type="dxa"/>
            </w:tcMar>
            <w:vAlign w:val="bottom"/>
            <w:hideMark/>
          </w:tcPr>
          <w:p w:rsidR="00FA6157" w:rsidRDefault="00FA6157">
            <w:pPr>
              <w:pStyle w:val="table10"/>
              <w:spacing w:before="120"/>
              <w:jc w:val="center"/>
            </w:pPr>
            <w:r>
              <w:t>1,0</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1,4</w:t>
            </w:r>
          </w:p>
        </w:tc>
        <w:tc>
          <w:tcPr>
            <w:tcW w:w="394" w:type="pct"/>
            <w:tcMar>
              <w:top w:w="0" w:type="dxa"/>
              <w:left w:w="6" w:type="dxa"/>
              <w:bottom w:w="0" w:type="dxa"/>
              <w:right w:w="6" w:type="dxa"/>
            </w:tcMar>
            <w:vAlign w:val="bottom"/>
            <w:hideMark/>
          </w:tcPr>
          <w:p w:rsidR="00FA6157" w:rsidRDefault="00FA6157">
            <w:pPr>
              <w:pStyle w:val="table10"/>
              <w:spacing w:before="120"/>
              <w:jc w:val="center"/>
            </w:pPr>
            <w:r>
              <w:t>1,8</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1,8</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2,2</w:t>
            </w:r>
          </w:p>
        </w:tc>
        <w:tc>
          <w:tcPr>
            <w:tcW w:w="409" w:type="pct"/>
            <w:tcMar>
              <w:top w:w="0" w:type="dxa"/>
              <w:left w:w="6" w:type="dxa"/>
              <w:bottom w:w="0" w:type="dxa"/>
              <w:right w:w="6" w:type="dxa"/>
            </w:tcMar>
            <w:vAlign w:val="bottom"/>
            <w:hideMark/>
          </w:tcPr>
          <w:p w:rsidR="00FA6157" w:rsidRDefault="00FA6157">
            <w:pPr>
              <w:pStyle w:val="table10"/>
              <w:spacing w:before="120"/>
              <w:jc w:val="center"/>
            </w:pPr>
            <w:proofErr w:type="gramStart"/>
            <w:r>
              <w:t>х</w:t>
            </w:r>
            <w:proofErr w:type="gramEnd"/>
          </w:p>
        </w:tc>
      </w:tr>
      <w:tr w:rsidR="00FA6157">
        <w:trPr>
          <w:trHeight w:val="240"/>
        </w:trPr>
        <w:tc>
          <w:tcPr>
            <w:tcW w:w="1618" w:type="pct"/>
            <w:tcBorders>
              <w:bottom w:val="single" w:sz="4" w:space="0" w:color="auto"/>
            </w:tcBorders>
            <w:tcMar>
              <w:top w:w="0" w:type="dxa"/>
              <w:left w:w="6" w:type="dxa"/>
              <w:bottom w:w="0" w:type="dxa"/>
              <w:right w:w="6" w:type="dxa"/>
            </w:tcMar>
            <w:hideMark/>
          </w:tcPr>
          <w:p w:rsidR="00FA6157" w:rsidRDefault="00FA6157">
            <w:pPr>
              <w:pStyle w:val="table10"/>
              <w:spacing w:before="120"/>
            </w:pPr>
            <w:r>
              <w:t>Реальные располагаемые денежные доходы населения</w:t>
            </w:r>
          </w:p>
        </w:tc>
        <w:tc>
          <w:tcPr>
            <w:tcW w:w="438" w:type="pct"/>
            <w:tcBorders>
              <w:bottom w:val="single" w:sz="4" w:space="0" w:color="auto"/>
            </w:tcBorders>
            <w:tcMar>
              <w:top w:w="0" w:type="dxa"/>
              <w:left w:w="6" w:type="dxa"/>
              <w:bottom w:w="0" w:type="dxa"/>
              <w:right w:w="6" w:type="dxa"/>
            </w:tcMar>
            <w:vAlign w:val="bottom"/>
            <w:hideMark/>
          </w:tcPr>
          <w:p w:rsidR="00FA6157" w:rsidRDefault="00FA6157">
            <w:pPr>
              <w:pStyle w:val="table10"/>
              <w:spacing w:before="120"/>
              <w:jc w:val="center"/>
            </w:pPr>
            <w:r>
              <w:t>104,6</w:t>
            </w:r>
          </w:p>
        </w:tc>
        <w:tc>
          <w:tcPr>
            <w:tcW w:w="393" w:type="pct"/>
            <w:tcBorders>
              <w:bottom w:val="single" w:sz="4" w:space="0" w:color="auto"/>
            </w:tcBorders>
            <w:tcMar>
              <w:top w:w="0" w:type="dxa"/>
              <w:left w:w="6" w:type="dxa"/>
              <w:bottom w:w="0" w:type="dxa"/>
              <w:right w:w="6" w:type="dxa"/>
            </w:tcMar>
            <w:vAlign w:val="bottom"/>
            <w:hideMark/>
          </w:tcPr>
          <w:p w:rsidR="00FA6157" w:rsidRDefault="00FA6157">
            <w:pPr>
              <w:pStyle w:val="table10"/>
              <w:spacing w:before="120"/>
              <w:jc w:val="center"/>
            </w:pPr>
            <w:r>
              <w:t>114,6</w:t>
            </w:r>
          </w:p>
        </w:tc>
        <w:tc>
          <w:tcPr>
            <w:tcW w:w="437" w:type="pct"/>
            <w:tcBorders>
              <w:bottom w:val="single" w:sz="4" w:space="0" w:color="auto"/>
            </w:tcBorders>
            <w:tcMar>
              <w:top w:w="0" w:type="dxa"/>
              <w:left w:w="6" w:type="dxa"/>
              <w:bottom w:w="0" w:type="dxa"/>
              <w:right w:w="6" w:type="dxa"/>
            </w:tcMar>
            <w:vAlign w:val="bottom"/>
            <w:hideMark/>
          </w:tcPr>
          <w:p w:rsidR="00FA6157" w:rsidRDefault="00FA6157">
            <w:pPr>
              <w:pStyle w:val="table10"/>
              <w:spacing w:before="120"/>
              <w:jc w:val="center"/>
            </w:pPr>
            <w:r>
              <w:t>101,6</w:t>
            </w:r>
          </w:p>
        </w:tc>
        <w:tc>
          <w:tcPr>
            <w:tcW w:w="437" w:type="pct"/>
            <w:tcBorders>
              <w:bottom w:val="single" w:sz="4" w:space="0" w:color="auto"/>
            </w:tcBorders>
            <w:tcMar>
              <w:top w:w="0" w:type="dxa"/>
              <w:left w:w="6" w:type="dxa"/>
              <w:bottom w:w="0" w:type="dxa"/>
              <w:right w:w="6" w:type="dxa"/>
            </w:tcMar>
            <w:vAlign w:val="bottom"/>
            <w:hideMark/>
          </w:tcPr>
          <w:p w:rsidR="00FA6157" w:rsidRDefault="00FA6157">
            <w:pPr>
              <w:pStyle w:val="table10"/>
              <w:spacing w:before="120"/>
              <w:jc w:val="center"/>
            </w:pPr>
            <w:r>
              <w:t>102,7</w:t>
            </w:r>
          </w:p>
        </w:tc>
        <w:tc>
          <w:tcPr>
            <w:tcW w:w="394" w:type="pct"/>
            <w:tcBorders>
              <w:bottom w:val="single" w:sz="4" w:space="0" w:color="auto"/>
            </w:tcBorders>
            <w:tcMar>
              <w:top w:w="0" w:type="dxa"/>
              <w:left w:w="6" w:type="dxa"/>
              <w:bottom w:w="0" w:type="dxa"/>
              <w:right w:w="6" w:type="dxa"/>
            </w:tcMar>
            <w:vAlign w:val="bottom"/>
            <w:hideMark/>
          </w:tcPr>
          <w:p w:rsidR="00FA6157" w:rsidRDefault="00FA6157">
            <w:pPr>
              <w:pStyle w:val="table10"/>
              <w:spacing w:before="120"/>
              <w:jc w:val="center"/>
            </w:pPr>
            <w:r>
              <w:t>103,7</w:t>
            </w:r>
          </w:p>
        </w:tc>
        <w:tc>
          <w:tcPr>
            <w:tcW w:w="437" w:type="pct"/>
            <w:tcBorders>
              <w:bottom w:val="single" w:sz="4" w:space="0" w:color="auto"/>
            </w:tcBorders>
            <w:tcMar>
              <w:top w:w="0" w:type="dxa"/>
              <w:left w:w="6" w:type="dxa"/>
              <w:bottom w:w="0" w:type="dxa"/>
              <w:right w:w="6" w:type="dxa"/>
            </w:tcMar>
            <w:vAlign w:val="bottom"/>
            <w:hideMark/>
          </w:tcPr>
          <w:p w:rsidR="00FA6157" w:rsidRDefault="00FA6157">
            <w:pPr>
              <w:pStyle w:val="table10"/>
              <w:spacing w:before="120"/>
              <w:jc w:val="center"/>
            </w:pPr>
            <w:r>
              <w:t>105,2</w:t>
            </w:r>
          </w:p>
        </w:tc>
        <w:tc>
          <w:tcPr>
            <w:tcW w:w="437" w:type="pct"/>
            <w:tcBorders>
              <w:bottom w:val="single" w:sz="4" w:space="0" w:color="auto"/>
            </w:tcBorders>
            <w:tcMar>
              <w:top w:w="0" w:type="dxa"/>
              <w:left w:w="6" w:type="dxa"/>
              <w:bottom w:w="0" w:type="dxa"/>
              <w:right w:w="6" w:type="dxa"/>
            </w:tcMar>
            <w:vAlign w:val="bottom"/>
            <w:hideMark/>
          </w:tcPr>
          <w:p w:rsidR="00FA6157" w:rsidRDefault="00FA6157">
            <w:pPr>
              <w:pStyle w:val="table10"/>
              <w:spacing w:before="120"/>
              <w:jc w:val="center"/>
            </w:pPr>
            <w:r>
              <w:t>105,6</w:t>
            </w:r>
          </w:p>
        </w:tc>
        <w:tc>
          <w:tcPr>
            <w:tcW w:w="409" w:type="pct"/>
            <w:tcBorders>
              <w:bottom w:val="single" w:sz="4" w:space="0" w:color="auto"/>
            </w:tcBorders>
            <w:tcMar>
              <w:top w:w="0" w:type="dxa"/>
              <w:left w:w="6" w:type="dxa"/>
              <w:bottom w:w="0" w:type="dxa"/>
              <w:right w:w="6" w:type="dxa"/>
            </w:tcMar>
            <w:vAlign w:val="bottom"/>
            <w:hideMark/>
          </w:tcPr>
          <w:p w:rsidR="00FA6157" w:rsidRDefault="00FA6157">
            <w:pPr>
              <w:pStyle w:val="table10"/>
              <w:spacing w:before="120"/>
              <w:jc w:val="center"/>
            </w:pPr>
            <w:r>
              <w:t>120,2</w:t>
            </w:r>
          </w:p>
        </w:tc>
      </w:tr>
    </w:tbl>
    <w:p w:rsidR="00FA6157" w:rsidRDefault="00FA6157">
      <w:pPr>
        <w:pStyle w:val="newncpi"/>
      </w:pPr>
      <w:r>
        <w:t> </w:t>
      </w:r>
    </w:p>
    <w:p w:rsidR="00FA6157" w:rsidRDefault="00FA6157">
      <w:pPr>
        <w:pStyle w:val="snoskiline"/>
      </w:pPr>
      <w:r>
        <w:t>______________________________</w:t>
      </w:r>
    </w:p>
    <w:p w:rsidR="00FA6157" w:rsidRDefault="00FA6157">
      <w:pPr>
        <w:pStyle w:val="snoski"/>
      </w:pPr>
      <w:r>
        <w:t>* Оценка с учетом микро- и малых организаций.</w:t>
      </w:r>
    </w:p>
    <w:p w:rsidR="00FA6157" w:rsidRDefault="00FA6157">
      <w:pPr>
        <w:pStyle w:val="snoski"/>
        <w:spacing w:after="240"/>
      </w:pPr>
      <w:r>
        <w:t>** За пятилетие.</w:t>
      </w:r>
    </w:p>
    <w:tbl>
      <w:tblPr>
        <w:tblW w:w="5000" w:type="pct"/>
        <w:tblCellMar>
          <w:left w:w="0" w:type="dxa"/>
          <w:right w:w="0" w:type="dxa"/>
        </w:tblCellMar>
        <w:tblLook w:val="04A0" w:firstRow="1" w:lastRow="0" w:firstColumn="1" w:lastColumn="0" w:noHBand="0" w:noVBand="1"/>
      </w:tblPr>
      <w:tblGrid>
        <w:gridCol w:w="11667"/>
        <w:gridCol w:w="4542"/>
      </w:tblGrid>
      <w:tr w:rsidR="00FA6157">
        <w:tc>
          <w:tcPr>
            <w:tcW w:w="3599" w:type="pct"/>
            <w:tcMar>
              <w:top w:w="0" w:type="dxa"/>
              <w:left w:w="6" w:type="dxa"/>
              <w:bottom w:w="0" w:type="dxa"/>
              <w:right w:w="6" w:type="dxa"/>
            </w:tcMar>
            <w:hideMark/>
          </w:tcPr>
          <w:p w:rsidR="00FA6157" w:rsidRDefault="00FA6157">
            <w:pPr>
              <w:pStyle w:val="newncpi"/>
            </w:pPr>
            <w:r>
              <w:t> </w:t>
            </w:r>
          </w:p>
        </w:tc>
        <w:tc>
          <w:tcPr>
            <w:tcW w:w="1401" w:type="pct"/>
            <w:tcMar>
              <w:top w:w="0" w:type="dxa"/>
              <w:left w:w="6" w:type="dxa"/>
              <w:bottom w:w="0" w:type="dxa"/>
              <w:right w:w="6" w:type="dxa"/>
            </w:tcMar>
            <w:hideMark/>
          </w:tcPr>
          <w:p w:rsidR="00FA6157" w:rsidRDefault="00FA6157">
            <w:pPr>
              <w:pStyle w:val="append1"/>
            </w:pPr>
            <w:r>
              <w:t>Приложение 2</w:t>
            </w:r>
          </w:p>
          <w:p w:rsidR="00FA6157" w:rsidRDefault="00FA6157">
            <w:pPr>
              <w:pStyle w:val="append"/>
            </w:pPr>
            <w:proofErr w:type="gramStart"/>
            <w:r>
              <w:t>к</w:t>
            </w:r>
            <w:proofErr w:type="gramEnd"/>
            <w:r>
              <w:t xml:space="preserve"> Программе социально-</w:t>
            </w:r>
            <w:r>
              <w:br/>
              <w:t xml:space="preserve">экономического развития </w:t>
            </w:r>
            <w:r>
              <w:br/>
            </w:r>
            <w:r>
              <w:lastRenderedPageBreak/>
              <w:t xml:space="preserve">Республики Беларусь </w:t>
            </w:r>
            <w:r>
              <w:br/>
              <w:t xml:space="preserve">на 2021–2025 годы </w:t>
            </w:r>
          </w:p>
        </w:tc>
      </w:tr>
    </w:tbl>
    <w:p w:rsidR="00FA6157" w:rsidRDefault="00FA6157">
      <w:pPr>
        <w:pStyle w:val="titlep"/>
        <w:jc w:val="left"/>
      </w:pPr>
      <w:r>
        <w:lastRenderedPageBreak/>
        <w:t>ЦЕЛЕВЫЕ ИНДИКАТОРЫ</w:t>
      </w:r>
      <w:r>
        <w:br/>
        <w:t>социально-экономического развития по областям и г. Минску на 2021–2025 годы</w:t>
      </w:r>
    </w:p>
    <w:p w:rsidR="00FA6157" w:rsidRDefault="00FA6157">
      <w:pPr>
        <w:pStyle w:val="edizmeren"/>
      </w:pPr>
      <w:r>
        <w:t>(</w:t>
      </w:r>
      <w:proofErr w:type="gramStart"/>
      <w:r>
        <w:t>процентов</w:t>
      </w:r>
      <w:proofErr w:type="gramEnd"/>
      <w:r>
        <w:t>)</w:t>
      </w:r>
    </w:p>
    <w:tbl>
      <w:tblPr>
        <w:tblW w:w="5000" w:type="pct"/>
        <w:tblCellMar>
          <w:left w:w="0" w:type="dxa"/>
          <w:right w:w="0" w:type="dxa"/>
        </w:tblCellMar>
        <w:tblLook w:val="04A0" w:firstRow="1" w:lastRow="0" w:firstColumn="1" w:lastColumn="0" w:noHBand="0" w:noVBand="1"/>
      </w:tblPr>
      <w:tblGrid>
        <w:gridCol w:w="6379"/>
        <w:gridCol w:w="1416"/>
        <w:gridCol w:w="1417"/>
        <w:gridCol w:w="1417"/>
        <w:gridCol w:w="1417"/>
        <w:gridCol w:w="1417"/>
        <w:gridCol w:w="1417"/>
        <w:gridCol w:w="1329"/>
      </w:tblGrid>
      <w:tr w:rsidR="00FA6157">
        <w:trPr>
          <w:trHeight w:val="240"/>
        </w:trPr>
        <w:tc>
          <w:tcPr>
            <w:tcW w:w="1968"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A6157" w:rsidRDefault="00FA6157">
            <w:pPr>
              <w:pStyle w:val="table10"/>
              <w:jc w:val="center"/>
            </w:pPr>
            <w:r>
              <w:t>Наименование показателей</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A6157" w:rsidRDefault="00FA6157">
            <w:pPr>
              <w:pStyle w:val="table10"/>
              <w:jc w:val="center"/>
            </w:pPr>
            <w:r>
              <w:t>2020 год к 2019 году</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A6157" w:rsidRDefault="00FA6157">
            <w:pPr>
              <w:pStyle w:val="table10"/>
              <w:jc w:val="center"/>
            </w:pPr>
            <w:r>
              <w:t>2021 год к 2020 году</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A6157" w:rsidRDefault="00FA6157">
            <w:pPr>
              <w:pStyle w:val="table10"/>
              <w:jc w:val="center"/>
            </w:pPr>
            <w:r>
              <w:t>2022 год к 2021 году</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A6157" w:rsidRDefault="00FA6157">
            <w:pPr>
              <w:pStyle w:val="table10"/>
              <w:jc w:val="center"/>
            </w:pPr>
            <w:r>
              <w:t>2023 год к 2022 году</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A6157" w:rsidRDefault="00FA6157">
            <w:pPr>
              <w:pStyle w:val="table10"/>
              <w:jc w:val="center"/>
            </w:pPr>
            <w:r>
              <w:t>2024 год к 2023 году</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A6157" w:rsidRDefault="00FA6157">
            <w:pPr>
              <w:pStyle w:val="table10"/>
              <w:jc w:val="center"/>
            </w:pPr>
            <w:r>
              <w:t>2025 год к 2024 году</w:t>
            </w:r>
          </w:p>
        </w:tc>
        <w:tc>
          <w:tcPr>
            <w:tcW w:w="41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A6157" w:rsidRDefault="00FA6157">
            <w:pPr>
              <w:pStyle w:val="table10"/>
              <w:jc w:val="center"/>
            </w:pPr>
            <w:r>
              <w:t>2025 год к 2020 году</w:t>
            </w:r>
          </w:p>
        </w:tc>
      </w:tr>
      <w:tr w:rsidR="00FA6157">
        <w:trPr>
          <w:trHeight w:val="240"/>
        </w:trPr>
        <w:tc>
          <w:tcPr>
            <w:tcW w:w="0" w:type="auto"/>
            <w:vMerge/>
            <w:tcBorders>
              <w:top w:val="single" w:sz="4" w:space="0" w:color="auto"/>
              <w:bottom w:val="single" w:sz="4" w:space="0" w:color="auto"/>
              <w:right w:val="single" w:sz="4" w:space="0" w:color="auto"/>
            </w:tcBorders>
            <w:vAlign w:val="center"/>
            <w:hideMark/>
          </w:tcPr>
          <w:p w:rsidR="00FA6157" w:rsidRDefault="00FA6157">
            <w:pPr>
              <w:rPr>
                <w:rFonts w:eastAsiaTheme="minorEastAsia"/>
                <w:sz w:val="20"/>
                <w:szCs w:val="20"/>
              </w:rPr>
            </w:pP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A6157" w:rsidRDefault="00FA6157">
            <w:pPr>
              <w:pStyle w:val="table10"/>
              <w:jc w:val="center"/>
            </w:pPr>
            <w:proofErr w:type="gramStart"/>
            <w:r>
              <w:t>факт</w:t>
            </w:r>
            <w:proofErr w:type="gramEnd"/>
          </w:p>
        </w:tc>
        <w:tc>
          <w:tcPr>
            <w:tcW w:w="2595"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A6157" w:rsidRDefault="00FA6157">
            <w:pPr>
              <w:pStyle w:val="table10"/>
              <w:jc w:val="center"/>
            </w:pPr>
            <w:proofErr w:type="gramStart"/>
            <w:r>
              <w:t>прогноз</w:t>
            </w:r>
            <w:proofErr w:type="gramEnd"/>
          </w:p>
        </w:tc>
      </w:tr>
      <w:tr w:rsidR="00FA6157">
        <w:trPr>
          <w:trHeight w:val="240"/>
        </w:trPr>
        <w:tc>
          <w:tcPr>
            <w:tcW w:w="1968" w:type="pct"/>
            <w:tcBorders>
              <w:top w:val="single" w:sz="4" w:space="0" w:color="auto"/>
            </w:tcBorders>
            <w:tcMar>
              <w:top w:w="0" w:type="dxa"/>
              <w:left w:w="6" w:type="dxa"/>
              <w:bottom w:w="0" w:type="dxa"/>
              <w:right w:w="6" w:type="dxa"/>
            </w:tcMar>
            <w:hideMark/>
          </w:tcPr>
          <w:p w:rsidR="00FA6157" w:rsidRDefault="00FA6157">
            <w:pPr>
              <w:pStyle w:val="table10"/>
              <w:spacing w:before="120"/>
            </w:pPr>
            <w:r>
              <w:t>Номинальная начисленная среднемесячная заработная плата:</w:t>
            </w:r>
          </w:p>
        </w:tc>
        <w:tc>
          <w:tcPr>
            <w:tcW w:w="437" w:type="pct"/>
            <w:tcBorders>
              <w:top w:val="single" w:sz="4" w:space="0" w:color="auto"/>
            </w:tcBorders>
            <w:tcMar>
              <w:top w:w="0" w:type="dxa"/>
              <w:left w:w="6" w:type="dxa"/>
              <w:bottom w:w="0" w:type="dxa"/>
              <w:right w:w="6" w:type="dxa"/>
            </w:tcMar>
            <w:vAlign w:val="bottom"/>
            <w:hideMark/>
          </w:tcPr>
          <w:p w:rsidR="00FA6157" w:rsidRDefault="00FA6157">
            <w:pPr>
              <w:pStyle w:val="table10"/>
              <w:spacing w:before="120"/>
              <w:jc w:val="center"/>
            </w:pPr>
            <w:r>
              <w:t> </w:t>
            </w:r>
          </w:p>
        </w:tc>
        <w:tc>
          <w:tcPr>
            <w:tcW w:w="2595" w:type="pct"/>
            <w:gridSpan w:val="6"/>
            <w:tcBorders>
              <w:top w:val="single" w:sz="4" w:space="0" w:color="auto"/>
            </w:tcBorders>
            <w:tcMar>
              <w:top w:w="0" w:type="dxa"/>
              <w:left w:w="6" w:type="dxa"/>
              <w:bottom w:w="0" w:type="dxa"/>
              <w:right w:w="6" w:type="dxa"/>
            </w:tcMar>
            <w:vAlign w:val="bottom"/>
            <w:hideMark/>
          </w:tcPr>
          <w:p w:rsidR="00FA6157" w:rsidRDefault="00FA6157">
            <w:pPr>
              <w:pStyle w:val="table10"/>
              <w:spacing w:before="120"/>
              <w:jc w:val="center"/>
            </w:pPr>
            <w:r>
              <w:t> </w:t>
            </w:r>
          </w:p>
        </w:tc>
      </w:tr>
      <w:tr w:rsidR="00FA6157">
        <w:trPr>
          <w:trHeight w:val="240"/>
        </w:trPr>
        <w:tc>
          <w:tcPr>
            <w:tcW w:w="1968" w:type="pct"/>
            <w:tcMar>
              <w:top w:w="0" w:type="dxa"/>
              <w:left w:w="6" w:type="dxa"/>
              <w:bottom w:w="0" w:type="dxa"/>
              <w:right w:w="6" w:type="dxa"/>
            </w:tcMar>
            <w:hideMark/>
          </w:tcPr>
          <w:p w:rsidR="00FA6157" w:rsidRDefault="00FA6157">
            <w:pPr>
              <w:pStyle w:val="table10"/>
              <w:spacing w:before="120"/>
              <w:ind w:left="283"/>
            </w:pPr>
            <w:r>
              <w:t>Брестская область</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113,5</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107,4</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108,0</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108,7</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109,9</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110,3</w:t>
            </w:r>
          </w:p>
        </w:tc>
        <w:tc>
          <w:tcPr>
            <w:tcW w:w="410" w:type="pct"/>
            <w:tcMar>
              <w:top w:w="0" w:type="dxa"/>
              <w:left w:w="6" w:type="dxa"/>
              <w:bottom w:w="0" w:type="dxa"/>
              <w:right w:w="6" w:type="dxa"/>
            </w:tcMar>
            <w:vAlign w:val="bottom"/>
            <w:hideMark/>
          </w:tcPr>
          <w:p w:rsidR="00FA6157" w:rsidRDefault="00FA6157">
            <w:pPr>
              <w:pStyle w:val="table10"/>
              <w:spacing w:before="120"/>
              <w:jc w:val="center"/>
            </w:pPr>
            <w:r>
              <w:t>152,8</w:t>
            </w:r>
          </w:p>
        </w:tc>
      </w:tr>
      <w:tr w:rsidR="00FA6157">
        <w:trPr>
          <w:trHeight w:val="240"/>
        </w:trPr>
        <w:tc>
          <w:tcPr>
            <w:tcW w:w="1968" w:type="pct"/>
            <w:tcMar>
              <w:top w:w="0" w:type="dxa"/>
              <w:left w:w="6" w:type="dxa"/>
              <w:bottom w:w="0" w:type="dxa"/>
              <w:right w:w="6" w:type="dxa"/>
            </w:tcMar>
            <w:hideMark/>
          </w:tcPr>
          <w:p w:rsidR="00FA6157" w:rsidRDefault="00FA6157">
            <w:pPr>
              <w:pStyle w:val="table10"/>
              <w:spacing w:before="120"/>
              <w:ind w:left="283"/>
            </w:pPr>
            <w:r>
              <w:t>Витебская область</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113,9</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107,4</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108,3</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108,8</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110,0</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110,5</w:t>
            </w:r>
          </w:p>
        </w:tc>
        <w:tc>
          <w:tcPr>
            <w:tcW w:w="410" w:type="pct"/>
            <w:tcMar>
              <w:top w:w="0" w:type="dxa"/>
              <w:left w:w="6" w:type="dxa"/>
              <w:bottom w:w="0" w:type="dxa"/>
              <w:right w:w="6" w:type="dxa"/>
            </w:tcMar>
            <w:vAlign w:val="bottom"/>
            <w:hideMark/>
          </w:tcPr>
          <w:p w:rsidR="00FA6157" w:rsidRDefault="00FA6157">
            <w:pPr>
              <w:pStyle w:val="table10"/>
              <w:spacing w:before="120"/>
              <w:jc w:val="center"/>
            </w:pPr>
            <w:r>
              <w:t>153,8</w:t>
            </w:r>
          </w:p>
        </w:tc>
      </w:tr>
      <w:tr w:rsidR="00FA6157">
        <w:trPr>
          <w:trHeight w:val="240"/>
        </w:trPr>
        <w:tc>
          <w:tcPr>
            <w:tcW w:w="1968" w:type="pct"/>
            <w:tcMar>
              <w:top w:w="0" w:type="dxa"/>
              <w:left w:w="6" w:type="dxa"/>
              <w:bottom w:w="0" w:type="dxa"/>
              <w:right w:w="6" w:type="dxa"/>
            </w:tcMar>
            <w:hideMark/>
          </w:tcPr>
          <w:p w:rsidR="00FA6157" w:rsidRDefault="00FA6157">
            <w:pPr>
              <w:pStyle w:val="table10"/>
              <w:spacing w:before="120"/>
              <w:ind w:left="283"/>
            </w:pPr>
            <w:r>
              <w:t>Гомельская область</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112,9</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107,3</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108,1</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109,3</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110,6</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110,9</w:t>
            </w:r>
          </w:p>
        </w:tc>
        <w:tc>
          <w:tcPr>
            <w:tcW w:w="410" w:type="pct"/>
            <w:tcMar>
              <w:top w:w="0" w:type="dxa"/>
              <w:left w:w="6" w:type="dxa"/>
              <w:bottom w:w="0" w:type="dxa"/>
              <w:right w:w="6" w:type="dxa"/>
            </w:tcMar>
            <w:vAlign w:val="bottom"/>
            <w:hideMark/>
          </w:tcPr>
          <w:p w:rsidR="00FA6157" w:rsidRDefault="00FA6157">
            <w:pPr>
              <w:pStyle w:val="table10"/>
              <w:spacing w:before="120"/>
              <w:jc w:val="center"/>
            </w:pPr>
            <w:r>
              <w:t>155,5</w:t>
            </w:r>
          </w:p>
        </w:tc>
      </w:tr>
      <w:tr w:rsidR="00FA6157">
        <w:trPr>
          <w:trHeight w:val="240"/>
        </w:trPr>
        <w:tc>
          <w:tcPr>
            <w:tcW w:w="1968" w:type="pct"/>
            <w:tcMar>
              <w:top w:w="0" w:type="dxa"/>
              <w:left w:w="6" w:type="dxa"/>
              <w:bottom w:w="0" w:type="dxa"/>
              <w:right w:w="6" w:type="dxa"/>
            </w:tcMar>
            <w:hideMark/>
          </w:tcPr>
          <w:p w:rsidR="00FA6157" w:rsidRDefault="00FA6157">
            <w:pPr>
              <w:pStyle w:val="table10"/>
              <w:spacing w:before="120"/>
              <w:ind w:left="283"/>
            </w:pPr>
            <w:r>
              <w:t>Гродненская область</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114,0</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107,6</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108,2</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108,7</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110,0</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110,5</w:t>
            </w:r>
          </w:p>
        </w:tc>
        <w:tc>
          <w:tcPr>
            <w:tcW w:w="410" w:type="pct"/>
            <w:tcMar>
              <w:top w:w="0" w:type="dxa"/>
              <w:left w:w="6" w:type="dxa"/>
              <w:bottom w:w="0" w:type="dxa"/>
              <w:right w:w="6" w:type="dxa"/>
            </w:tcMar>
            <w:vAlign w:val="bottom"/>
            <w:hideMark/>
          </w:tcPr>
          <w:p w:rsidR="00FA6157" w:rsidRDefault="00FA6157">
            <w:pPr>
              <w:pStyle w:val="table10"/>
              <w:spacing w:before="120"/>
              <w:jc w:val="center"/>
            </w:pPr>
            <w:r>
              <w:t>153,8</w:t>
            </w:r>
          </w:p>
        </w:tc>
      </w:tr>
      <w:tr w:rsidR="00FA6157">
        <w:trPr>
          <w:trHeight w:val="240"/>
        </w:trPr>
        <w:tc>
          <w:tcPr>
            <w:tcW w:w="1968" w:type="pct"/>
            <w:tcMar>
              <w:top w:w="0" w:type="dxa"/>
              <w:left w:w="6" w:type="dxa"/>
              <w:bottom w:w="0" w:type="dxa"/>
              <w:right w:w="6" w:type="dxa"/>
            </w:tcMar>
            <w:hideMark/>
          </w:tcPr>
          <w:p w:rsidR="00FA6157" w:rsidRDefault="00FA6157">
            <w:pPr>
              <w:pStyle w:val="table10"/>
              <w:spacing w:before="120"/>
              <w:ind w:left="283"/>
            </w:pPr>
            <w:r>
              <w:t>Минская область</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113,3</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107,3</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108,0</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108,7</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109,9</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110,3</w:t>
            </w:r>
          </w:p>
        </w:tc>
        <w:tc>
          <w:tcPr>
            <w:tcW w:w="410" w:type="pct"/>
            <w:tcMar>
              <w:top w:w="0" w:type="dxa"/>
              <w:left w:w="6" w:type="dxa"/>
              <w:bottom w:w="0" w:type="dxa"/>
              <w:right w:w="6" w:type="dxa"/>
            </w:tcMar>
            <w:vAlign w:val="bottom"/>
            <w:hideMark/>
          </w:tcPr>
          <w:p w:rsidR="00FA6157" w:rsidRDefault="00FA6157">
            <w:pPr>
              <w:pStyle w:val="table10"/>
              <w:spacing w:before="120"/>
              <w:jc w:val="center"/>
            </w:pPr>
            <w:r>
              <w:t>152,7</w:t>
            </w:r>
          </w:p>
        </w:tc>
      </w:tr>
      <w:tr w:rsidR="00FA6157">
        <w:trPr>
          <w:trHeight w:val="240"/>
        </w:trPr>
        <w:tc>
          <w:tcPr>
            <w:tcW w:w="1968" w:type="pct"/>
            <w:tcMar>
              <w:top w:w="0" w:type="dxa"/>
              <w:left w:w="6" w:type="dxa"/>
              <w:bottom w:w="0" w:type="dxa"/>
              <w:right w:w="6" w:type="dxa"/>
            </w:tcMar>
            <w:hideMark/>
          </w:tcPr>
          <w:p w:rsidR="00FA6157" w:rsidRDefault="00FA6157">
            <w:pPr>
              <w:pStyle w:val="table10"/>
              <w:spacing w:before="120"/>
              <w:ind w:left="283"/>
            </w:pPr>
            <w:r>
              <w:t>Могилевская область</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113,3</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107,6</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107,9</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109,0</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109,9</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110,4</w:t>
            </w:r>
          </w:p>
        </w:tc>
        <w:tc>
          <w:tcPr>
            <w:tcW w:w="410" w:type="pct"/>
            <w:tcMar>
              <w:top w:w="0" w:type="dxa"/>
              <w:left w:w="6" w:type="dxa"/>
              <w:bottom w:w="0" w:type="dxa"/>
              <w:right w:w="6" w:type="dxa"/>
            </w:tcMar>
            <w:vAlign w:val="bottom"/>
            <w:hideMark/>
          </w:tcPr>
          <w:p w:rsidR="00FA6157" w:rsidRDefault="00FA6157">
            <w:pPr>
              <w:pStyle w:val="table10"/>
              <w:spacing w:before="120"/>
              <w:jc w:val="center"/>
            </w:pPr>
            <w:r>
              <w:t>153,5</w:t>
            </w:r>
          </w:p>
        </w:tc>
      </w:tr>
      <w:tr w:rsidR="00FA6157">
        <w:trPr>
          <w:trHeight w:val="240"/>
        </w:trPr>
        <w:tc>
          <w:tcPr>
            <w:tcW w:w="1968" w:type="pct"/>
            <w:tcMar>
              <w:top w:w="0" w:type="dxa"/>
              <w:left w:w="6" w:type="dxa"/>
              <w:bottom w:w="0" w:type="dxa"/>
              <w:right w:w="6" w:type="dxa"/>
            </w:tcMar>
            <w:hideMark/>
          </w:tcPr>
          <w:p w:rsidR="00FA6157" w:rsidRDefault="00FA6157">
            <w:pPr>
              <w:pStyle w:val="table10"/>
              <w:spacing w:before="120"/>
              <w:ind w:left="283"/>
            </w:pPr>
            <w:proofErr w:type="gramStart"/>
            <w:r>
              <w:t>город</w:t>
            </w:r>
            <w:proofErr w:type="gramEnd"/>
            <w:r>
              <w:t xml:space="preserve"> Минск</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117,3</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107,2</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107,8</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108,5</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109,0</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109,1</w:t>
            </w:r>
          </w:p>
        </w:tc>
        <w:tc>
          <w:tcPr>
            <w:tcW w:w="410" w:type="pct"/>
            <w:tcMar>
              <w:top w:w="0" w:type="dxa"/>
              <w:left w:w="6" w:type="dxa"/>
              <w:bottom w:w="0" w:type="dxa"/>
              <w:right w:w="6" w:type="dxa"/>
            </w:tcMar>
            <w:vAlign w:val="bottom"/>
            <w:hideMark/>
          </w:tcPr>
          <w:p w:rsidR="00FA6157" w:rsidRDefault="00FA6157">
            <w:pPr>
              <w:pStyle w:val="table10"/>
              <w:spacing w:before="120"/>
              <w:jc w:val="center"/>
            </w:pPr>
            <w:r>
              <w:t>149,1</w:t>
            </w:r>
          </w:p>
        </w:tc>
      </w:tr>
      <w:tr w:rsidR="00FA6157">
        <w:trPr>
          <w:trHeight w:val="240"/>
        </w:trPr>
        <w:tc>
          <w:tcPr>
            <w:tcW w:w="5000" w:type="pct"/>
            <w:gridSpan w:val="8"/>
            <w:tcMar>
              <w:top w:w="0" w:type="dxa"/>
              <w:left w:w="6" w:type="dxa"/>
              <w:bottom w:w="0" w:type="dxa"/>
              <w:right w:w="6" w:type="dxa"/>
            </w:tcMar>
            <w:hideMark/>
          </w:tcPr>
          <w:p w:rsidR="00FA6157" w:rsidRDefault="00FA6157">
            <w:pPr>
              <w:pStyle w:val="table10"/>
              <w:spacing w:before="120"/>
            </w:pPr>
            <w:r>
              <w:t>Инвестиции в основной капитал:</w:t>
            </w:r>
          </w:p>
        </w:tc>
      </w:tr>
      <w:tr w:rsidR="00FA6157">
        <w:trPr>
          <w:trHeight w:val="240"/>
        </w:trPr>
        <w:tc>
          <w:tcPr>
            <w:tcW w:w="1968" w:type="pct"/>
            <w:tcMar>
              <w:top w:w="0" w:type="dxa"/>
              <w:left w:w="6" w:type="dxa"/>
              <w:bottom w:w="0" w:type="dxa"/>
              <w:right w:w="6" w:type="dxa"/>
            </w:tcMar>
            <w:hideMark/>
          </w:tcPr>
          <w:p w:rsidR="00FA6157" w:rsidRDefault="00FA6157">
            <w:pPr>
              <w:pStyle w:val="table10"/>
              <w:spacing w:before="120"/>
              <w:ind w:left="283"/>
            </w:pPr>
            <w:r>
              <w:t>Брестская область</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94,2</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102,0</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104,3</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104,0</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105,0</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105,2</w:t>
            </w:r>
          </w:p>
        </w:tc>
        <w:tc>
          <w:tcPr>
            <w:tcW w:w="410" w:type="pct"/>
            <w:tcMar>
              <w:top w:w="0" w:type="dxa"/>
              <w:left w:w="6" w:type="dxa"/>
              <w:bottom w:w="0" w:type="dxa"/>
              <w:right w:w="6" w:type="dxa"/>
            </w:tcMar>
            <w:vAlign w:val="bottom"/>
            <w:hideMark/>
          </w:tcPr>
          <w:p w:rsidR="00FA6157" w:rsidRDefault="00FA6157">
            <w:pPr>
              <w:pStyle w:val="table10"/>
              <w:spacing w:before="120"/>
              <w:jc w:val="center"/>
            </w:pPr>
            <w:r>
              <w:t>122,2</w:t>
            </w:r>
          </w:p>
        </w:tc>
      </w:tr>
      <w:tr w:rsidR="00FA6157">
        <w:trPr>
          <w:trHeight w:val="240"/>
        </w:trPr>
        <w:tc>
          <w:tcPr>
            <w:tcW w:w="1968" w:type="pct"/>
            <w:tcMar>
              <w:top w:w="0" w:type="dxa"/>
              <w:left w:w="6" w:type="dxa"/>
              <w:bottom w:w="0" w:type="dxa"/>
              <w:right w:w="6" w:type="dxa"/>
            </w:tcMar>
            <w:hideMark/>
          </w:tcPr>
          <w:p w:rsidR="00FA6157" w:rsidRDefault="00FA6157">
            <w:pPr>
              <w:pStyle w:val="table10"/>
              <w:spacing w:before="120"/>
              <w:ind w:left="283"/>
            </w:pPr>
            <w:r>
              <w:t>Витебская область</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99,9</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100,0</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103,3</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104,1</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105,4</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104,7</w:t>
            </w:r>
          </w:p>
        </w:tc>
        <w:tc>
          <w:tcPr>
            <w:tcW w:w="410" w:type="pct"/>
            <w:tcMar>
              <w:top w:w="0" w:type="dxa"/>
              <w:left w:w="6" w:type="dxa"/>
              <w:bottom w:w="0" w:type="dxa"/>
              <w:right w:w="6" w:type="dxa"/>
            </w:tcMar>
            <w:vAlign w:val="bottom"/>
            <w:hideMark/>
          </w:tcPr>
          <w:p w:rsidR="00FA6157" w:rsidRDefault="00FA6157">
            <w:pPr>
              <w:pStyle w:val="table10"/>
              <w:spacing w:before="120"/>
              <w:jc w:val="center"/>
            </w:pPr>
            <w:r>
              <w:t>118,7</w:t>
            </w:r>
          </w:p>
        </w:tc>
      </w:tr>
      <w:tr w:rsidR="00FA6157">
        <w:trPr>
          <w:trHeight w:val="240"/>
        </w:trPr>
        <w:tc>
          <w:tcPr>
            <w:tcW w:w="1968" w:type="pct"/>
            <w:tcMar>
              <w:top w:w="0" w:type="dxa"/>
              <w:left w:w="6" w:type="dxa"/>
              <w:bottom w:w="0" w:type="dxa"/>
              <w:right w:w="6" w:type="dxa"/>
            </w:tcMar>
            <w:hideMark/>
          </w:tcPr>
          <w:p w:rsidR="00FA6157" w:rsidRDefault="00FA6157">
            <w:pPr>
              <w:pStyle w:val="table10"/>
              <w:spacing w:before="120"/>
              <w:ind w:left="283"/>
            </w:pPr>
            <w:r>
              <w:t>Гомельская область</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92,5</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100,0</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103,5</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105,6</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107,5</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103,4</w:t>
            </w:r>
          </w:p>
        </w:tc>
        <w:tc>
          <w:tcPr>
            <w:tcW w:w="410" w:type="pct"/>
            <w:tcMar>
              <w:top w:w="0" w:type="dxa"/>
              <w:left w:w="6" w:type="dxa"/>
              <w:bottom w:w="0" w:type="dxa"/>
              <w:right w:w="6" w:type="dxa"/>
            </w:tcMar>
            <w:vAlign w:val="bottom"/>
            <w:hideMark/>
          </w:tcPr>
          <w:p w:rsidR="00FA6157" w:rsidRDefault="00FA6157">
            <w:pPr>
              <w:pStyle w:val="table10"/>
              <w:spacing w:before="120"/>
              <w:jc w:val="center"/>
            </w:pPr>
            <w:r>
              <w:t>121,5</w:t>
            </w:r>
          </w:p>
        </w:tc>
      </w:tr>
      <w:tr w:rsidR="00FA6157">
        <w:trPr>
          <w:trHeight w:val="240"/>
        </w:trPr>
        <w:tc>
          <w:tcPr>
            <w:tcW w:w="1968" w:type="pct"/>
            <w:tcMar>
              <w:top w:w="0" w:type="dxa"/>
              <w:left w:w="6" w:type="dxa"/>
              <w:bottom w:w="0" w:type="dxa"/>
              <w:right w:w="6" w:type="dxa"/>
            </w:tcMar>
            <w:hideMark/>
          </w:tcPr>
          <w:p w:rsidR="00FA6157" w:rsidRDefault="00FA6157">
            <w:pPr>
              <w:pStyle w:val="table10"/>
              <w:spacing w:before="120"/>
              <w:ind w:left="283"/>
            </w:pPr>
            <w:r>
              <w:t>Гродненская область</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82,2</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101,0</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103,0</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104,0</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105,5</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106,6</w:t>
            </w:r>
          </w:p>
        </w:tc>
        <w:tc>
          <w:tcPr>
            <w:tcW w:w="410" w:type="pct"/>
            <w:tcMar>
              <w:top w:w="0" w:type="dxa"/>
              <w:left w:w="6" w:type="dxa"/>
              <w:bottom w:w="0" w:type="dxa"/>
              <w:right w:w="6" w:type="dxa"/>
            </w:tcMar>
            <w:vAlign w:val="bottom"/>
            <w:hideMark/>
          </w:tcPr>
          <w:p w:rsidR="00FA6157" w:rsidRDefault="00FA6157">
            <w:pPr>
              <w:pStyle w:val="table10"/>
              <w:spacing w:before="120"/>
              <w:jc w:val="center"/>
            </w:pPr>
            <w:r>
              <w:t>121,7</w:t>
            </w:r>
          </w:p>
        </w:tc>
      </w:tr>
      <w:tr w:rsidR="00FA6157">
        <w:trPr>
          <w:trHeight w:val="240"/>
        </w:trPr>
        <w:tc>
          <w:tcPr>
            <w:tcW w:w="1968" w:type="pct"/>
            <w:tcMar>
              <w:top w:w="0" w:type="dxa"/>
              <w:left w:w="6" w:type="dxa"/>
              <w:bottom w:w="0" w:type="dxa"/>
              <w:right w:w="6" w:type="dxa"/>
            </w:tcMar>
            <w:hideMark/>
          </w:tcPr>
          <w:p w:rsidR="00FA6157" w:rsidRDefault="00FA6157">
            <w:pPr>
              <w:pStyle w:val="table10"/>
              <w:spacing w:before="120"/>
              <w:ind w:left="283"/>
            </w:pPr>
            <w:r>
              <w:t>Минская область</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100,5</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103,0</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104,9</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103,2</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104,5</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105,0</w:t>
            </w:r>
          </w:p>
        </w:tc>
        <w:tc>
          <w:tcPr>
            <w:tcW w:w="410" w:type="pct"/>
            <w:tcMar>
              <w:top w:w="0" w:type="dxa"/>
              <w:left w:w="6" w:type="dxa"/>
              <w:bottom w:w="0" w:type="dxa"/>
              <w:right w:w="6" w:type="dxa"/>
            </w:tcMar>
            <w:vAlign w:val="bottom"/>
            <w:hideMark/>
          </w:tcPr>
          <w:p w:rsidR="00FA6157" w:rsidRDefault="00FA6157">
            <w:pPr>
              <w:pStyle w:val="table10"/>
              <w:spacing w:before="120"/>
              <w:jc w:val="center"/>
            </w:pPr>
            <w:r>
              <w:t>122,4</w:t>
            </w:r>
          </w:p>
        </w:tc>
      </w:tr>
      <w:tr w:rsidR="00FA6157">
        <w:trPr>
          <w:trHeight w:val="240"/>
        </w:trPr>
        <w:tc>
          <w:tcPr>
            <w:tcW w:w="1968" w:type="pct"/>
            <w:tcMar>
              <w:top w:w="0" w:type="dxa"/>
              <w:left w:w="6" w:type="dxa"/>
              <w:bottom w:w="0" w:type="dxa"/>
              <w:right w:w="6" w:type="dxa"/>
            </w:tcMar>
            <w:hideMark/>
          </w:tcPr>
          <w:p w:rsidR="00FA6157" w:rsidRDefault="00FA6157">
            <w:pPr>
              <w:pStyle w:val="table10"/>
              <w:spacing w:before="120"/>
              <w:ind w:left="283"/>
            </w:pPr>
            <w:r>
              <w:t>Могилевская область</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88,0</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101,0</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103,3</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105,0</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105,3</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105,5</w:t>
            </w:r>
          </w:p>
        </w:tc>
        <w:tc>
          <w:tcPr>
            <w:tcW w:w="410" w:type="pct"/>
            <w:tcMar>
              <w:top w:w="0" w:type="dxa"/>
              <w:left w:w="6" w:type="dxa"/>
              <w:bottom w:w="0" w:type="dxa"/>
              <w:right w:w="6" w:type="dxa"/>
            </w:tcMar>
            <w:vAlign w:val="bottom"/>
            <w:hideMark/>
          </w:tcPr>
          <w:p w:rsidR="00FA6157" w:rsidRDefault="00FA6157">
            <w:pPr>
              <w:pStyle w:val="table10"/>
              <w:spacing w:before="120"/>
              <w:jc w:val="center"/>
            </w:pPr>
            <w:r>
              <w:t>121,7</w:t>
            </w:r>
          </w:p>
        </w:tc>
      </w:tr>
      <w:tr w:rsidR="00FA6157">
        <w:trPr>
          <w:trHeight w:val="240"/>
        </w:trPr>
        <w:tc>
          <w:tcPr>
            <w:tcW w:w="1968" w:type="pct"/>
            <w:tcMar>
              <w:top w:w="0" w:type="dxa"/>
              <w:left w:w="6" w:type="dxa"/>
              <w:bottom w:w="0" w:type="dxa"/>
              <w:right w:w="6" w:type="dxa"/>
            </w:tcMar>
            <w:hideMark/>
          </w:tcPr>
          <w:p w:rsidR="00FA6157" w:rsidRDefault="00FA6157">
            <w:pPr>
              <w:pStyle w:val="table10"/>
              <w:spacing w:before="120"/>
              <w:ind w:left="283"/>
            </w:pPr>
            <w:proofErr w:type="gramStart"/>
            <w:r>
              <w:t>город</w:t>
            </w:r>
            <w:proofErr w:type="gramEnd"/>
            <w:r>
              <w:t xml:space="preserve"> Минск</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91,1</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102,1</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103,0</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104,5</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105,5</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105,6</w:t>
            </w:r>
          </w:p>
        </w:tc>
        <w:tc>
          <w:tcPr>
            <w:tcW w:w="410" w:type="pct"/>
            <w:tcMar>
              <w:top w:w="0" w:type="dxa"/>
              <w:left w:w="6" w:type="dxa"/>
              <w:bottom w:w="0" w:type="dxa"/>
              <w:right w:w="6" w:type="dxa"/>
            </w:tcMar>
            <w:vAlign w:val="bottom"/>
            <w:hideMark/>
          </w:tcPr>
          <w:p w:rsidR="00FA6157" w:rsidRDefault="00FA6157">
            <w:pPr>
              <w:pStyle w:val="table10"/>
              <w:spacing w:before="120"/>
              <w:jc w:val="center"/>
            </w:pPr>
            <w:r>
              <w:t>122,4</w:t>
            </w:r>
          </w:p>
        </w:tc>
      </w:tr>
      <w:tr w:rsidR="00FA6157">
        <w:trPr>
          <w:trHeight w:val="240"/>
        </w:trPr>
        <w:tc>
          <w:tcPr>
            <w:tcW w:w="5000" w:type="pct"/>
            <w:gridSpan w:val="8"/>
            <w:tcMar>
              <w:top w:w="0" w:type="dxa"/>
              <w:left w:w="6" w:type="dxa"/>
              <w:bottom w:w="0" w:type="dxa"/>
              <w:right w:w="6" w:type="dxa"/>
            </w:tcMar>
            <w:hideMark/>
          </w:tcPr>
          <w:p w:rsidR="00FA6157" w:rsidRDefault="00FA6157">
            <w:pPr>
              <w:pStyle w:val="table10"/>
              <w:spacing w:before="120"/>
            </w:pPr>
            <w:r>
              <w:t>Совокупные поступления доходов местных бюджетов*:</w:t>
            </w:r>
          </w:p>
        </w:tc>
      </w:tr>
      <w:tr w:rsidR="00FA6157">
        <w:trPr>
          <w:trHeight w:val="240"/>
        </w:trPr>
        <w:tc>
          <w:tcPr>
            <w:tcW w:w="1968" w:type="pct"/>
            <w:tcMar>
              <w:top w:w="0" w:type="dxa"/>
              <w:left w:w="6" w:type="dxa"/>
              <w:bottom w:w="0" w:type="dxa"/>
              <w:right w:w="6" w:type="dxa"/>
            </w:tcMar>
            <w:hideMark/>
          </w:tcPr>
          <w:p w:rsidR="00FA6157" w:rsidRDefault="00FA6157">
            <w:pPr>
              <w:pStyle w:val="table10"/>
              <w:spacing w:before="120"/>
              <w:ind w:left="283"/>
            </w:pPr>
            <w:r>
              <w:t>Брестская область</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108,2</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107,8</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108,4</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109,3</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110,0</w:t>
            </w:r>
          </w:p>
        </w:tc>
        <w:tc>
          <w:tcPr>
            <w:tcW w:w="410" w:type="pct"/>
            <w:tcMar>
              <w:top w:w="0" w:type="dxa"/>
              <w:left w:w="6" w:type="dxa"/>
              <w:bottom w:w="0" w:type="dxa"/>
              <w:right w:w="6" w:type="dxa"/>
            </w:tcMar>
            <w:vAlign w:val="bottom"/>
            <w:hideMark/>
          </w:tcPr>
          <w:p w:rsidR="00FA6157" w:rsidRDefault="00FA6157">
            <w:pPr>
              <w:pStyle w:val="table10"/>
              <w:spacing w:before="120"/>
              <w:jc w:val="center"/>
            </w:pPr>
            <w:r>
              <w:t>152,0</w:t>
            </w:r>
          </w:p>
        </w:tc>
      </w:tr>
      <w:tr w:rsidR="00FA6157">
        <w:trPr>
          <w:trHeight w:val="240"/>
        </w:trPr>
        <w:tc>
          <w:tcPr>
            <w:tcW w:w="1968" w:type="pct"/>
            <w:tcMar>
              <w:top w:w="0" w:type="dxa"/>
              <w:left w:w="6" w:type="dxa"/>
              <w:bottom w:w="0" w:type="dxa"/>
              <w:right w:w="6" w:type="dxa"/>
            </w:tcMar>
            <w:hideMark/>
          </w:tcPr>
          <w:p w:rsidR="00FA6157" w:rsidRDefault="00FA6157">
            <w:pPr>
              <w:pStyle w:val="table10"/>
              <w:spacing w:before="120"/>
              <w:ind w:left="283"/>
            </w:pPr>
            <w:r>
              <w:t>Витебская область</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108,8</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107,7</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108,2</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109,6</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109,5</w:t>
            </w:r>
          </w:p>
        </w:tc>
        <w:tc>
          <w:tcPr>
            <w:tcW w:w="410" w:type="pct"/>
            <w:tcMar>
              <w:top w:w="0" w:type="dxa"/>
              <w:left w:w="6" w:type="dxa"/>
              <w:bottom w:w="0" w:type="dxa"/>
              <w:right w:w="6" w:type="dxa"/>
            </w:tcMar>
            <w:vAlign w:val="bottom"/>
            <w:hideMark/>
          </w:tcPr>
          <w:p w:rsidR="00FA6157" w:rsidRDefault="00FA6157">
            <w:pPr>
              <w:pStyle w:val="table10"/>
              <w:spacing w:before="120"/>
              <w:jc w:val="center"/>
            </w:pPr>
            <w:r>
              <w:t>152,2</w:t>
            </w:r>
          </w:p>
        </w:tc>
      </w:tr>
      <w:tr w:rsidR="00FA6157">
        <w:trPr>
          <w:trHeight w:val="240"/>
        </w:trPr>
        <w:tc>
          <w:tcPr>
            <w:tcW w:w="1968" w:type="pct"/>
            <w:tcMar>
              <w:top w:w="0" w:type="dxa"/>
              <w:left w:w="6" w:type="dxa"/>
              <w:bottom w:w="0" w:type="dxa"/>
              <w:right w:w="6" w:type="dxa"/>
            </w:tcMar>
            <w:hideMark/>
          </w:tcPr>
          <w:p w:rsidR="00FA6157" w:rsidRDefault="00FA6157">
            <w:pPr>
              <w:pStyle w:val="table10"/>
              <w:spacing w:before="120"/>
              <w:ind w:left="283"/>
            </w:pPr>
            <w:r>
              <w:t>Гомельская область</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108,0</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108,0</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108,7</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109,0</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110,0</w:t>
            </w:r>
          </w:p>
        </w:tc>
        <w:tc>
          <w:tcPr>
            <w:tcW w:w="410" w:type="pct"/>
            <w:tcMar>
              <w:top w:w="0" w:type="dxa"/>
              <w:left w:w="6" w:type="dxa"/>
              <w:bottom w:w="0" w:type="dxa"/>
              <w:right w:w="6" w:type="dxa"/>
            </w:tcMar>
            <w:vAlign w:val="bottom"/>
            <w:hideMark/>
          </w:tcPr>
          <w:p w:rsidR="00FA6157" w:rsidRDefault="00FA6157">
            <w:pPr>
              <w:pStyle w:val="table10"/>
              <w:spacing w:before="120"/>
              <w:jc w:val="center"/>
            </w:pPr>
            <w:r>
              <w:t>152,0</w:t>
            </w:r>
          </w:p>
        </w:tc>
      </w:tr>
      <w:tr w:rsidR="00FA6157">
        <w:trPr>
          <w:trHeight w:val="240"/>
        </w:trPr>
        <w:tc>
          <w:tcPr>
            <w:tcW w:w="1968" w:type="pct"/>
            <w:tcMar>
              <w:top w:w="0" w:type="dxa"/>
              <w:left w:w="6" w:type="dxa"/>
              <w:bottom w:w="0" w:type="dxa"/>
              <w:right w:w="6" w:type="dxa"/>
            </w:tcMar>
            <w:hideMark/>
          </w:tcPr>
          <w:p w:rsidR="00FA6157" w:rsidRDefault="00FA6157">
            <w:pPr>
              <w:pStyle w:val="table10"/>
              <w:spacing w:before="120"/>
              <w:ind w:left="283"/>
            </w:pPr>
            <w:r>
              <w:t>Гродненская область</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110,5</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107,8</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108,7</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110,5</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110,5</w:t>
            </w:r>
          </w:p>
        </w:tc>
        <w:tc>
          <w:tcPr>
            <w:tcW w:w="410" w:type="pct"/>
            <w:tcMar>
              <w:top w:w="0" w:type="dxa"/>
              <w:left w:w="6" w:type="dxa"/>
              <w:bottom w:w="0" w:type="dxa"/>
              <w:right w:w="6" w:type="dxa"/>
            </w:tcMar>
            <w:vAlign w:val="bottom"/>
            <w:hideMark/>
          </w:tcPr>
          <w:p w:rsidR="00FA6157" w:rsidRDefault="00FA6157">
            <w:pPr>
              <w:pStyle w:val="table10"/>
              <w:spacing w:before="120"/>
              <w:jc w:val="center"/>
            </w:pPr>
            <w:r>
              <w:t>158,1</w:t>
            </w:r>
          </w:p>
        </w:tc>
      </w:tr>
      <w:tr w:rsidR="00FA6157">
        <w:trPr>
          <w:trHeight w:val="240"/>
        </w:trPr>
        <w:tc>
          <w:tcPr>
            <w:tcW w:w="1968" w:type="pct"/>
            <w:tcMar>
              <w:top w:w="0" w:type="dxa"/>
              <w:left w:w="6" w:type="dxa"/>
              <w:bottom w:w="0" w:type="dxa"/>
              <w:right w:w="6" w:type="dxa"/>
            </w:tcMar>
            <w:hideMark/>
          </w:tcPr>
          <w:p w:rsidR="00FA6157" w:rsidRDefault="00FA6157">
            <w:pPr>
              <w:pStyle w:val="table10"/>
              <w:spacing w:before="120"/>
              <w:ind w:left="283"/>
            </w:pPr>
            <w:r>
              <w:t>Минская область</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108,3</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107,8</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108,5</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108,2</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110,0</w:t>
            </w:r>
          </w:p>
        </w:tc>
        <w:tc>
          <w:tcPr>
            <w:tcW w:w="410" w:type="pct"/>
            <w:tcMar>
              <w:top w:w="0" w:type="dxa"/>
              <w:left w:w="6" w:type="dxa"/>
              <w:bottom w:w="0" w:type="dxa"/>
              <w:right w:w="6" w:type="dxa"/>
            </w:tcMar>
            <w:vAlign w:val="bottom"/>
            <w:hideMark/>
          </w:tcPr>
          <w:p w:rsidR="00FA6157" w:rsidRDefault="00FA6157">
            <w:pPr>
              <w:pStyle w:val="table10"/>
              <w:spacing w:before="120"/>
              <w:jc w:val="center"/>
            </w:pPr>
            <w:r>
              <w:t>150,8</w:t>
            </w:r>
          </w:p>
        </w:tc>
      </w:tr>
      <w:tr w:rsidR="00FA6157">
        <w:trPr>
          <w:trHeight w:val="240"/>
        </w:trPr>
        <w:tc>
          <w:tcPr>
            <w:tcW w:w="1968" w:type="pct"/>
            <w:tcMar>
              <w:top w:w="0" w:type="dxa"/>
              <w:left w:w="6" w:type="dxa"/>
              <w:bottom w:w="0" w:type="dxa"/>
              <w:right w:w="6" w:type="dxa"/>
            </w:tcMar>
            <w:hideMark/>
          </w:tcPr>
          <w:p w:rsidR="00FA6157" w:rsidRDefault="00FA6157">
            <w:pPr>
              <w:pStyle w:val="table10"/>
              <w:spacing w:before="120"/>
              <w:ind w:left="283"/>
            </w:pPr>
            <w:r>
              <w:lastRenderedPageBreak/>
              <w:t>Могилевская область</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107,9</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107,6</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108,3</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109,5</w:t>
            </w:r>
          </w:p>
        </w:tc>
        <w:tc>
          <w:tcPr>
            <w:tcW w:w="437" w:type="pct"/>
            <w:tcMar>
              <w:top w:w="0" w:type="dxa"/>
              <w:left w:w="6" w:type="dxa"/>
              <w:bottom w:w="0" w:type="dxa"/>
              <w:right w:w="6" w:type="dxa"/>
            </w:tcMar>
            <w:vAlign w:val="bottom"/>
            <w:hideMark/>
          </w:tcPr>
          <w:p w:rsidR="00FA6157" w:rsidRDefault="00FA6157">
            <w:pPr>
              <w:pStyle w:val="table10"/>
              <w:spacing w:before="120"/>
              <w:jc w:val="center"/>
            </w:pPr>
            <w:r>
              <w:t>109,9</w:t>
            </w:r>
          </w:p>
        </w:tc>
        <w:tc>
          <w:tcPr>
            <w:tcW w:w="410" w:type="pct"/>
            <w:tcMar>
              <w:top w:w="0" w:type="dxa"/>
              <w:left w:w="6" w:type="dxa"/>
              <w:bottom w:w="0" w:type="dxa"/>
              <w:right w:w="6" w:type="dxa"/>
            </w:tcMar>
            <w:vAlign w:val="bottom"/>
            <w:hideMark/>
          </w:tcPr>
          <w:p w:rsidR="00FA6157" w:rsidRDefault="00FA6157">
            <w:pPr>
              <w:pStyle w:val="table10"/>
              <w:spacing w:before="120"/>
              <w:jc w:val="center"/>
            </w:pPr>
            <w:r>
              <w:t>151,3</w:t>
            </w:r>
          </w:p>
        </w:tc>
      </w:tr>
      <w:tr w:rsidR="00FA6157">
        <w:trPr>
          <w:trHeight w:val="240"/>
        </w:trPr>
        <w:tc>
          <w:tcPr>
            <w:tcW w:w="1968" w:type="pct"/>
            <w:tcBorders>
              <w:bottom w:val="single" w:sz="4" w:space="0" w:color="auto"/>
            </w:tcBorders>
            <w:tcMar>
              <w:top w:w="0" w:type="dxa"/>
              <w:left w:w="6" w:type="dxa"/>
              <w:bottom w:w="0" w:type="dxa"/>
              <w:right w:w="6" w:type="dxa"/>
            </w:tcMar>
            <w:hideMark/>
          </w:tcPr>
          <w:p w:rsidR="00FA6157" w:rsidRDefault="00FA6157">
            <w:pPr>
              <w:pStyle w:val="table10"/>
              <w:spacing w:before="120"/>
              <w:ind w:left="283"/>
            </w:pPr>
            <w:proofErr w:type="gramStart"/>
            <w:r>
              <w:t>город</w:t>
            </w:r>
            <w:proofErr w:type="gramEnd"/>
            <w:r>
              <w:t xml:space="preserve"> Минск</w:t>
            </w:r>
          </w:p>
        </w:tc>
        <w:tc>
          <w:tcPr>
            <w:tcW w:w="437" w:type="pct"/>
            <w:tcBorders>
              <w:bottom w:val="single" w:sz="4" w:space="0" w:color="auto"/>
            </w:tcBorders>
            <w:tcMar>
              <w:top w:w="0" w:type="dxa"/>
              <w:left w:w="6" w:type="dxa"/>
              <w:bottom w:w="0" w:type="dxa"/>
              <w:right w:w="6" w:type="dxa"/>
            </w:tcMar>
            <w:vAlign w:val="bottom"/>
            <w:hideMark/>
          </w:tcPr>
          <w:p w:rsidR="00FA6157" w:rsidRDefault="00FA6157">
            <w:pPr>
              <w:pStyle w:val="table10"/>
              <w:spacing w:before="120"/>
              <w:jc w:val="center"/>
            </w:pPr>
            <w:r>
              <w:t>–</w:t>
            </w:r>
          </w:p>
        </w:tc>
        <w:tc>
          <w:tcPr>
            <w:tcW w:w="437" w:type="pct"/>
            <w:tcBorders>
              <w:bottom w:val="single" w:sz="4" w:space="0" w:color="auto"/>
            </w:tcBorders>
            <w:tcMar>
              <w:top w:w="0" w:type="dxa"/>
              <w:left w:w="6" w:type="dxa"/>
              <w:bottom w:w="0" w:type="dxa"/>
              <w:right w:w="6" w:type="dxa"/>
            </w:tcMar>
            <w:vAlign w:val="bottom"/>
            <w:hideMark/>
          </w:tcPr>
          <w:p w:rsidR="00FA6157" w:rsidRDefault="00FA6157">
            <w:pPr>
              <w:pStyle w:val="table10"/>
              <w:spacing w:before="120"/>
              <w:jc w:val="center"/>
            </w:pPr>
            <w:r>
              <w:t>108,7</w:t>
            </w:r>
          </w:p>
        </w:tc>
        <w:tc>
          <w:tcPr>
            <w:tcW w:w="437" w:type="pct"/>
            <w:tcBorders>
              <w:bottom w:val="single" w:sz="4" w:space="0" w:color="auto"/>
            </w:tcBorders>
            <w:tcMar>
              <w:top w:w="0" w:type="dxa"/>
              <w:left w:w="6" w:type="dxa"/>
              <w:bottom w:w="0" w:type="dxa"/>
              <w:right w:w="6" w:type="dxa"/>
            </w:tcMar>
            <w:vAlign w:val="bottom"/>
            <w:hideMark/>
          </w:tcPr>
          <w:p w:rsidR="00FA6157" w:rsidRDefault="00FA6157">
            <w:pPr>
              <w:pStyle w:val="table10"/>
              <w:spacing w:before="120"/>
              <w:jc w:val="center"/>
            </w:pPr>
            <w:r>
              <w:t>107,3</w:t>
            </w:r>
          </w:p>
        </w:tc>
        <w:tc>
          <w:tcPr>
            <w:tcW w:w="437" w:type="pct"/>
            <w:tcBorders>
              <w:bottom w:val="single" w:sz="4" w:space="0" w:color="auto"/>
            </w:tcBorders>
            <w:tcMar>
              <w:top w:w="0" w:type="dxa"/>
              <w:left w:w="6" w:type="dxa"/>
              <w:bottom w:w="0" w:type="dxa"/>
              <w:right w:w="6" w:type="dxa"/>
            </w:tcMar>
            <w:vAlign w:val="bottom"/>
            <w:hideMark/>
          </w:tcPr>
          <w:p w:rsidR="00FA6157" w:rsidRDefault="00FA6157">
            <w:pPr>
              <w:pStyle w:val="table10"/>
              <w:spacing w:before="120"/>
              <w:jc w:val="center"/>
            </w:pPr>
            <w:r>
              <w:t>108,4</w:t>
            </w:r>
          </w:p>
        </w:tc>
        <w:tc>
          <w:tcPr>
            <w:tcW w:w="437" w:type="pct"/>
            <w:tcBorders>
              <w:bottom w:val="single" w:sz="4" w:space="0" w:color="auto"/>
            </w:tcBorders>
            <w:tcMar>
              <w:top w:w="0" w:type="dxa"/>
              <w:left w:w="6" w:type="dxa"/>
              <w:bottom w:w="0" w:type="dxa"/>
              <w:right w:w="6" w:type="dxa"/>
            </w:tcMar>
            <w:vAlign w:val="bottom"/>
            <w:hideMark/>
          </w:tcPr>
          <w:p w:rsidR="00FA6157" w:rsidRDefault="00FA6157">
            <w:pPr>
              <w:pStyle w:val="table10"/>
              <w:spacing w:before="120"/>
              <w:jc w:val="center"/>
            </w:pPr>
            <w:r>
              <w:t>111,0</w:t>
            </w:r>
          </w:p>
        </w:tc>
        <w:tc>
          <w:tcPr>
            <w:tcW w:w="437" w:type="pct"/>
            <w:tcBorders>
              <w:bottom w:val="single" w:sz="4" w:space="0" w:color="auto"/>
            </w:tcBorders>
            <w:tcMar>
              <w:top w:w="0" w:type="dxa"/>
              <w:left w:w="6" w:type="dxa"/>
              <w:bottom w:w="0" w:type="dxa"/>
              <w:right w:w="6" w:type="dxa"/>
            </w:tcMar>
            <w:vAlign w:val="bottom"/>
            <w:hideMark/>
          </w:tcPr>
          <w:p w:rsidR="00FA6157" w:rsidRDefault="00FA6157">
            <w:pPr>
              <w:pStyle w:val="table10"/>
              <w:spacing w:before="120"/>
              <w:jc w:val="center"/>
            </w:pPr>
            <w:r>
              <w:t>110,3</w:t>
            </w:r>
          </w:p>
        </w:tc>
        <w:tc>
          <w:tcPr>
            <w:tcW w:w="410" w:type="pct"/>
            <w:tcBorders>
              <w:bottom w:val="single" w:sz="4" w:space="0" w:color="auto"/>
            </w:tcBorders>
            <w:tcMar>
              <w:top w:w="0" w:type="dxa"/>
              <w:left w:w="6" w:type="dxa"/>
              <w:bottom w:w="0" w:type="dxa"/>
              <w:right w:w="6" w:type="dxa"/>
            </w:tcMar>
            <w:vAlign w:val="bottom"/>
            <w:hideMark/>
          </w:tcPr>
          <w:p w:rsidR="00FA6157" w:rsidRDefault="00FA6157">
            <w:pPr>
              <w:pStyle w:val="table10"/>
              <w:spacing w:before="120"/>
              <w:jc w:val="center"/>
            </w:pPr>
            <w:r>
              <w:t>154,8</w:t>
            </w:r>
          </w:p>
        </w:tc>
      </w:tr>
    </w:tbl>
    <w:p w:rsidR="00FA6157" w:rsidRDefault="00FA6157">
      <w:pPr>
        <w:pStyle w:val="newncpi"/>
      </w:pPr>
      <w:r>
        <w:t> </w:t>
      </w:r>
    </w:p>
    <w:p w:rsidR="00FA6157" w:rsidRDefault="00FA6157">
      <w:pPr>
        <w:pStyle w:val="snoskiline"/>
      </w:pPr>
      <w:r>
        <w:t>______________________________</w:t>
      </w:r>
    </w:p>
    <w:p w:rsidR="00FA6157" w:rsidRDefault="00FA6157">
      <w:pPr>
        <w:pStyle w:val="snoski"/>
      </w:pPr>
      <w:r>
        <w:t>* К совокупным поступлениям доходов относятся:</w:t>
      </w:r>
    </w:p>
    <w:p w:rsidR="00FA6157" w:rsidRDefault="00FA6157">
      <w:pPr>
        <w:pStyle w:val="snoski"/>
      </w:pPr>
      <w:proofErr w:type="gramStart"/>
      <w:r>
        <w:t>подоходный</w:t>
      </w:r>
      <w:proofErr w:type="gramEnd"/>
      <w:r>
        <w:t xml:space="preserve"> налог с физических лиц, перечисляемый в бюджет организациями (за исключением организаций, являющихся плательщиками налога на прибыль в республиканский бюджет в соответствии с подпунктом 1.1 пункта 1 статьи 30 Бюджетного кодекса Республики Беларусь, а также республиканских органов государственного управления, местных исполнительных и распорядительных органов, местных Советов депутатов, бюджетных организаций) и индивидуальными предпринимателями;</w:t>
      </w:r>
    </w:p>
    <w:p w:rsidR="00FA6157" w:rsidRDefault="00FA6157">
      <w:pPr>
        <w:pStyle w:val="snoski"/>
      </w:pPr>
      <w:proofErr w:type="gramStart"/>
      <w:r>
        <w:t>подоходный</w:t>
      </w:r>
      <w:proofErr w:type="gramEnd"/>
      <w:r>
        <w:t xml:space="preserve"> налог с физических лиц, исчисленный с доходов, полученных от осуществления предпринимательской деятельности;</w:t>
      </w:r>
    </w:p>
    <w:p w:rsidR="00FA6157" w:rsidRDefault="00FA6157">
      <w:pPr>
        <w:pStyle w:val="snoski"/>
      </w:pPr>
      <w:proofErr w:type="gramStart"/>
      <w:r>
        <w:t>налог</w:t>
      </w:r>
      <w:proofErr w:type="gramEnd"/>
      <w:r>
        <w:t xml:space="preserve"> при упрощенной системе налогообложения;</w:t>
      </w:r>
    </w:p>
    <w:p w:rsidR="00FA6157" w:rsidRDefault="00FA6157">
      <w:pPr>
        <w:pStyle w:val="snoski"/>
        <w:spacing w:after="240"/>
      </w:pPr>
      <w:proofErr w:type="gramStart"/>
      <w:r>
        <w:t>единый</w:t>
      </w:r>
      <w:proofErr w:type="gramEnd"/>
      <w:r>
        <w:t xml:space="preserve"> налог с индивидуальных предпринимателей и иных физических лиц.</w:t>
      </w:r>
    </w:p>
    <w:p w:rsidR="00FA6157" w:rsidRDefault="00FA6157">
      <w:pPr>
        <w:pStyle w:val="newncpi"/>
      </w:pPr>
      <w:r>
        <w:t> </w:t>
      </w:r>
    </w:p>
    <w:p w:rsidR="00E852FE" w:rsidRDefault="00452778"/>
    <w:sectPr w:rsidR="00E852FE" w:rsidSect="00FA6157">
      <w:pgSz w:w="16838" w:h="11906" w:orient="landscape"/>
      <w:pgMar w:top="567" w:right="289" w:bottom="567" w:left="340" w:header="28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778" w:rsidRDefault="00452778" w:rsidP="00FA6157">
      <w:pPr>
        <w:spacing w:after="0" w:line="240" w:lineRule="auto"/>
      </w:pPr>
      <w:r>
        <w:separator/>
      </w:r>
    </w:p>
  </w:endnote>
  <w:endnote w:type="continuationSeparator" w:id="0">
    <w:p w:rsidR="00452778" w:rsidRDefault="00452778" w:rsidP="00FA6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157" w:rsidRDefault="00FA615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157" w:rsidRDefault="00FA615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FA6157" w:rsidTr="00FA6157">
      <w:tc>
        <w:tcPr>
          <w:tcW w:w="1800" w:type="dxa"/>
          <w:shd w:val="clear" w:color="auto" w:fill="auto"/>
          <w:vAlign w:val="center"/>
        </w:tcPr>
        <w:p w:rsidR="00FA6157" w:rsidRDefault="00FA6157">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FA6157" w:rsidRDefault="00FA6157">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FA6157" w:rsidRDefault="00FA6157">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30.01.2024</w:t>
          </w:r>
        </w:p>
        <w:p w:rsidR="00FA6157" w:rsidRPr="00FA6157" w:rsidRDefault="00FA6157">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FA6157" w:rsidRDefault="00FA615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778" w:rsidRDefault="00452778" w:rsidP="00FA6157">
      <w:pPr>
        <w:spacing w:after="0" w:line="240" w:lineRule="auto"/>
      </w:pPr>
      <w:r>
        <w:separator/>
      </w:r>
    </w:p>
  </w:footnote>
  <w:footnote w:type="continuationSeparator" w:id="0">
    <w:p w:rsidR="00452778" w:rsidRDefault="00452778" w:rsidP="00FA6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157" w:rsidRDefault="00FA6157" w:rsidP="001B696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A6157" w:rsidRDefault="00FA615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157" w:rsidRPr="00FA6157" w:rsidRDefault="00FA6157" w:rsidP="001B6969">
    <w:pPr>
      <w:pStyle w:val="a5"/>
      <w:framePr w:wrap="around" w:vAnchor="text" w:hAnchor="margin" w:xAlign="center" w:y="1"/>
      <w:rPr>
        <w:rStyle w:val="a9"/>
        <w:rFonts w:ascii="Times New Roman" w:hAnsi="Times New Roman" w:cs="Times New Roman"/>
        <w:sz w:val="24"/>
      </w:rPr>
    </w:pPr>
    <w:r w:rsidRPr="00FA6157">
      <w:rPr>
        <w:rStyle w:val="a9"/>
        <w:rFonts w:ascii="Times New Roman" w:hAnsi="Times New Roman" w:cs="Times New Roman"/>
        <w:sz w:val="24"/>
      </w:rPr>
      <w:fldChar w:fldCharType="begin"/>
    </w:r>
    <w:r w:rsidRPr="00FA6157">
      <w:rPr>
        <w:rStyle w:val="a9"/>
        <w:rFonts w:ascii="Times New Roman" w:hAnsi="Times New Roman" w:cs="Times New Roman"/>
        <w:sz w:val="24"/>
      </w:rPr>
      <w:instrText xml:space="preserve">PAGE  </w:instrText>
    </w:r>
    <w:r w:rsidRPr="00FA6157">
      <w:rPr>
        <w:rStyle w:val="a9"/>
        <w:rFonts w:ascii="Times New Roman" w:hAnsi="Times New Roman" w:cs="Times New Roman"/>
        <w:sz w:val="24"/>
      </w:rPr>
      <w:fldChar w:fldCharType="separate"/>
    </w:r>
    <w:r>
      <w:rPr>
        <w:rStyle w:val="a9"/>
        <w:rFonts w:ascii="Times New Roman" w:hAnsi="Times New Roman" w:cs="Times New Roman"/>
        <w:noProof/>
        <w:sz w:val="24"/>
      </w:rPr>
      <w:t>21</w:t>
    </w:r>
    <w:r w:rsidRPr="00FA6157">
      <w:rPr>
        <w:rStyle w:val="a9"/>
        <w:rFonts w:ascii="Times New Roman" w:hAnsi="Times New Roman" w:cs="Times New Roman"/>
        <w:sz w:val="24"/>
      </w:rPr>
      <w:fldChar w:fldCharType="end"/>
    </w:r>
  </w:p>
  <w:p w:rsidR="00FA6157" w:rsidRPr="00FA6157" w:rsidRDefault="00FA6157">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157" w:rsidRDefault="00FA615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157"/>
    <w:rsid w:val="0013694E"/>
    <w:rsid w:val="003C6681"/>
    <w:rsid w:val="00452778"/>
    <w:rsid w:val="00AF3500"/>
    <w:rsid w:val="00E02C92"/>
    <w:rsid w:val="00FA6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684955-EF6E-4031-B1A5-FF5CDFDC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6157"/>
    <w:rPr>
      <w:color w:val="154C94"/>
      <w:u w:val="single"/>
    </w:rPr>
  </w:style>
  <w:style w:type="character" w:styleId="a4">
    <w:name w:val="FollowedHyperlink"/>
    <w:basedOn w:val="a0"/>
    <w:uiPriority w:val="99"/>
    <w:semiHidden/>
    <w:unhideWhenUsed/>
    <w:rsid w:val="00FA6157"/>
    <w:rPr>
      <w:color w:val="154C94"/>
      <w:u w:val="single"/>
    </w:rPr>
  </w:style>
  <w:style w:type="paragraph" w:customStyle="1" w:styleId="article">
    <w:name w:val="article"/>
    <w:basedOn w:val="a"/>
    <w:rsid w:val="00FA6157"/>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FA615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FA615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FA6157"/>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FA615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FA6157"/>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FA6157"/>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FA6157"/>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FA6157"/>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FA6157"/>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FA615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FA6157"/>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FA6157"/>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FA6157"/>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FA6157"/>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FA615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A615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FA615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FA6157"/>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FA6157"/>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FA6157"/>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FA615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FA615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FA6157"/>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FA6157"/>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FA6157"/>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FA6157"/>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FA6157"/>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FA6157"/>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FA6157"/>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FA615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FA615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FA6157"/>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FA6157"/>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FA615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A6157"/>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FA6157"/>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FA6157"/>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FA6157"/>
    <w:pPr>
      <w:spacing w:after="28" w:line="240" w:lineRule="auto"/>
    </w:pPr>
    <w:rPr>
      <w:rFonts w:ascii="Times New Roman" w:eastAsiaTheme="minorEastAsia" w:hAnsi="Times New Roman" w:cs="Times New Roman"/>
      <w:lang w:eastAsia="ru-RU"/>
    </w:rPr>
  </w:style>
  <w:style w:type="paragraph" w:customStyle="1" w:styleId="cap1">
    <w:name w:val="cap1"/>
    <w:basedOn w:val="a"/>
    <w:rsid w:val="00FA6157"/>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FA6157"/>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FA615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A6157"/>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FA6157"/>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FA6157"/>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FA615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FA6157"/>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FA615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FA615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FA6157"/>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FA6157"/>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FA6157"/>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FA6157"/>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FA6157"/>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FA615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FA6157"/>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FA615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FA6157"/>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FA6157"/>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FA6157"/>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FA6157"/>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FA6157"/>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FA6157"/>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FA615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FA6157"/>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FA6157"/>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FA6157"/>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FA6157"/>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FA6157"/>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FA6157"/>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FA6157"/>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FA6157"/>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FA6157"/>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FA615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FA615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FA615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FA6157"/>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FA6157"/>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FA6157"/>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FA615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FA6157"/>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FA6157"/>
    <w:rPr>
      <w:rFonts w:ascii="Times New Roman" w:hAnsi="Times New Roman" w:cs="Times New Roman" w:hint="default"/>
      <w:caps/>
    </w:rPr>
  </w:style>
  <w:style w:type="character" w:customStyle="1" w:styleId="promulgator">
    <w:name w:val="promulgator"/>
    <w:basedOn w:val="a0"/>
    <w:rsid w:val="00FA6157"/>
    <w:rPr>
      <w:rFonts w:ascii="Times New Roman" w:hAnsi="Times New Roman" w:cs="Times New Roman" w:hint="default"/>
      <w:caps/>
    </w:rPr>
  </w:style>
  <w:style w:type="character" w:customStyle="1" w:styleId="datepr">
    <w:name w:val="datepr"/>
    <w:basedOn w:val="a0"/>
    <w:rsid w:val="00FA6157"/>
    <w:rPr>
      <w:rFonts w:ascii="Times New Roman" w:hAnsi="Times New Roman" w:cs="Times New Roman" w:hint="default"/>
    </w:rPr>
  </w:style>
  <w:style w:type="character" w:customStyle="1" w:styleId="datecity">
    <w:name w:val="datecity"/>
    <w:basedOn w:val="a0"/>
    <w:rsid w:val="00FA6157"/>
    <w:rPr>
      <w:rFonts w:ascii="Times New Roman" w:hAnsi="Times New Roman" w:cs="Times New Roman" w:hint="default"/>
      <w:sz w:val="24"/>
      <w:szCs w:val="24"/>
    </w:rPr>
  </w:style>
  <w:style w:type="character" w:customStyle="1" w:styleId="datereg">
    <w:name w:val="datereg"/>
    <w:basedOn w:val="a0"/>
    <w:rsid w:val="00FA6157"/>
    <w:rPr>
      <w:rFonts w:ascii="Times New Roman" w:hAnsi="Times New Roman" w:cs="Times New Roman" w:hint="default"/>
    </w:rPr>
  </w:style>
  <w:style w:type="character" w:customStyle="1" w:styleId="number">
    <w:name w:val="number"/>
    <w:basedOn w:val="a0"/>
    <w:rsid w:val="00FA6157"/>
    <w:rPr>
      <w:rFonts w:ascii="Times New Roman" w:hAnsi="Times New Roman" w:cs="Times New Roman" w:hint="default"/>
    </w:rPr>
  </w:style>
  <w:style w:type="character" w:customStyle="1" w:styleId="bigsimbol">
    <w:name w:val="bigsimbol"/>
    <w:basedOn w:val="a0"/>
    <w:rsid w:val="00FA6157"/>
    <w:rPr>
      <w:rFonts w:ascii="Times New Roman" w:hAnsi="Times New Roman" w:cs="Times New Roman" w:hint="default"/>
      <w:caps/>
    </w:rPr>
  </w:style>
  <w:style w:type="character" w:customStyle="1" w:styleId="razr">
    <w:name w:val="razr"/>
    <w:basedOn w:val="a0"/>
    <w:rsid w:val="00FA6157"/>
    <w:rPr>
      <w:rFonts w:ascii="Times New Roman" w:hAnsi="Times New Roman" w:cs="Times New Roman" w:hint="default"/>
      <w:spacing w:val="30"/>
    </w:rPr>
  </w:style>
  <w:style w:type="character" w:customStyle="1" w:styleId="onesymbol">
    <w:name w:val="onesymbol"/>
    <w:basedOn w:val="a0"/>
    <w:rsid w:val="00FA6157"/>
    <w:rPr>
      <w:rFonts w:ascii="Symbol" w:hAnsi="Symbol" w:hint="default"/>
    </w:rPr>
  </w:style>
  <w:style w:type="character" w:customStyle="1" w:styleId="onewind3">
    <w:name w:val="onewind3"/>
    <w:basedOn w:val="a0"/>
    <w:rsid w:val="00FA6157"/>
    <w:rPr>
      <w:rFonts w:ascii="Wingdings 3" w:hAnsi="Wingdings 3" w:hint="default"/>
    </w:rPr>
  </w:style>
  <w:style w:type="character" w:customStyle="1" w:styleId="onewind2">
    <w:name w:val="onewind2"/>
    <w:basedOn w:val="a0"/>
    <w:rsid w:val="00FA6157"/>
    <w:rPr>
      <w:rFonts w:ascii="Wingdings 2" w:hAnsi="Wingdings 2" w:hint="default"/>
    </w:rPr>
  </w:style>
  <w:style w:type="character" w:customStyle="1" w:styleId="onewind">
    <w:name w:val="onewind"/>
    <w:basedOn w:val="a0"/>
    <w:rsid w:val="00FA6157"/>
    <w:rPr>
      <w:rFonts w:ascii="Wingdings" w:hAnsi="Wingdings" w:hint="default"/>
    </w:rPr>
  </w:style>
  <w:style w:type="character" w:customStyle="1" w:styleId="rednoun">
    <w:name w:val="rednoun"/>
    <w:basedOn w:val="a0"/>
    <w:rsid w:val="00FA6157"/>
  </w:style>
  <w:style w:type="character" w:customStyle="1" w:styleId="post">
    <w:name w:val="post"/>
    <w:basedOn w:val="a0"/>
    <w:rsid w:val="00FA6157"/>
    <w:rPr>
      <w:rFonts w:ascii="Times New Roman" w:hAnsi="Times New Roman" w:cs="Times New Roman" w:hint="default"/>
      <w:b/>
      <w:bCs/>
      <w:sz w:val="22"/>
      <w:szCs w:val="22"/>
    </w:rPr>
  </w:style>
  <w:style w:type="character" w:customStyle="1" w:styleId="pers">
    <w:name w:val="pers"/>
    <w:basedOn w:val="a0"/>
    <w:rsid w:val="00FA6157"/>
    <w:rPr>
      <w:rFonts w:ascii="Times New Roman" w:hAnsi="Times New Roman" w:cs="Times New Roman" w:hint="default"/>
      <w:b/>
      <w:bCs/>
      <w:sz w:val="22"/>
      <w:szCs w:val="22"/>
    </w:rPr>
  </w:style>
  <w:style w:type="character" w:customStyle="1" w:styleId="arabic">
    <w:name w:val="arabic"/>
    <w:basedOn w:val="a0"/>
    <w:rsid w:val="00FA6157"/>
    <w:rPr>
      <w:rFonts w:ascii="Times New Roman" w:hAnsi="Times New Roman" w:cs="Times New Roman" w:hint="default"/>
    </w:rPr>
  </w:style>
  <w:style w:type="character" w:customStyle="1" w:styleId="articlec">
    <w:name w:val="articlec"/>
    <w:basedOn w:val="a0"/>
    <w:rsid w:val="00FA6157"/>
    <w:rPr>
      <w:rFonts w:ascii="Times New Roman" w:hAnsi="Times New Roman" w:cs="Times New Roman" w:hint="default"/>
      <w:b/>
      <w:bCs/>
    </w:rPr>
  </w:style>
  <w:style w:type="character" w:customStyle="1" w:styleId="roman">
    <w:name w:val="roman"/>
    <w:basedOn w:val="a0"/>
    <w:rsid w:val="00FA6157"/>
    <w:rPr>
      <w:rFonts w:ascii="Arial" w:hAnsi="Arial" w:cs="Arial" w:hint="default"/>
    </w:rPr>
  </w:style>
  <w:style w:type="character" w:customStyle="1" w:styleId="snoskiindex">
    <w:name w:val="snoskiindex"/>
    <w:basedOn w:val="a0"/>
    <w:rsid w:val="00FA6157"/>
    <w:rPr>
      <w:rFonts w:ascii="Times New Roman" w:hAnsi="Times New Roman" w:cs="Times New Roman" w:hint="default"/>
    </w:rPr>
  </w:style>
  <w:style w:type="table" w:customStyle="1" w:styleId="tablencpi">
    <w:name w:val="tablencpi"/>
    <w:basedOn w:val="a1"/>
    <w:rsid w:val="00FA6157"/>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FA615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A6157"/>
  </w:style>
  <w:style w:type="paragraph" w:styleId="a7">
    <w:name w:val="footer"/>
    <w:basedOn w:val="a"/>
    <w:link w:val="a8"/>
    <w:uiPriority w:val="99"/>
    <w:unhideWhenUsed/>
    <w:rsid w:val="00FA615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A6157"/>
  </w:style>
  <w:style w:type="character" w:styleId="a9">
    <w:name w:val="page number"/>
    <w:basedOn w:val="a0"/>
    <w:uiPriority w:val="99"/>
    <w:semiHidden/>
    <w:unhideWhenUsed/>
    <w:rsid w:val="00FA6157"/>
  </w:style>
  <w:style w:type="table" w:styleId="aa">
    <w:name w:val="Table Grid"/>
    <w:basedOn w:val="a1"/>
    <w:uiPriority w:val="39"/>
    <w:rsid w:val="00FA6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19300</Words>
  <Characters>149385</Characters>
  <Application>Microsoft Office Word</Application>
  <DocSecurity>0</DocSecurity>
  <Lines>2987</Lines>
  <Paragraphs>1268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Агиевич Вадим</dc:creator>
  <cp:keywords/>
  <dc:description/>
  <cp:lastModifiedBy>Агиевич Вадим</cp:lastModifiedBy>
  <cp:revision>1</cp:revision>
  <dcterms:created xsi:type="dcterms:W3CDTF">2024-01-30T13:19:00Z</dcterms:created>
  <dcterms:modified xsi:type="dcterms:W3CDTF">2024-01-30T13:20:00Z</dcterms:modified>
</cp:coreProperties>
</file>