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548" w14:textId="77777777" w:rsidR="00B03780" w:rsidRDefault="00B03780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404C5CD4" w14:textId="77777777" w:rsidR="00B03780" w:rsidRDefault="00B03780">
      <w:pPr>
        <w:pStyle w:val="newncpi"/>
        <w:ind w:firstLine="0"/>
        <w:jc w:val="center"/>
      </w:pPr>
      <w:r>
        <w:rPr>
          <w:rStyle w:val="datepr"/>
        </w:rPr>
        <w:t>25 марта 2008 г.</w:t>
      </w:r>
      <w:r>
        <w:rPr>
          <w:rStyle w:val="number"/>
        </w:rPr>
        <w:t xml:space="preserve"> № 174</w:t>
      </w:r>
    </w:p>
    <w:p w14:paraId="4C920A68" w14:textId="77777777" w:rsidR="00B03780" w:rsidRDefault="00B03780">
      <w:pPr>
        <w:pStyle w:val="title"/>
      </w:pPr>
      <w:r>
        <w:t>О совершенствовании деятельности Белорусского инновационного фонда</w:t>
      </w:r>
    </w:p>
    <w:p w14:paraId="19A60602" w14:textId="77777777" w:rsidR="00B03780" w:rsidRDefault="00B03780">
      <w:pPr>
        <w:pStyle w:val="changei"/>
      </w:pPr>
      <w:r>
        <w:t>Изменения и дополнения:</w:t>
      </w:r>
    </w:p>
    <w:p w14:paraId="1141467B" w14:textId="77777777" w:rsidR="00B03780" w:rsidRDefault="00B03780">
      <w:pPr>
        <w:pStyle w:val="changeadd"/>
      </w:pPr>
      <w:r>
        <w:t>Указ Президента Республики Беларусь от 17 мая 2010 г. № 252 (Национальный реестр правовых актов Республики Беларусь, 2010 г., № 120, 1/11643) &lt;P31000252&gt;;</w:t>
      </w:r>
    </w:p>
    <w:p w14:paraId="1039A8AA" w14:textId="77777777" w:rsidR="00B03780" w:rsidRDefault="00B03780">
      <w:pPr>
        <w:pStyle w:val="changeadd"/>
      </w:pPr>
      <w:r>
        <w:t>Указ Президента Республики Беларусь от 8 ноября 2012 г. № 503 (Национальный правовой Интернет-портал Республики Беларусь, 13.11.2012, 1/13876) &lt;P31200503&gt;;</w:t>
      </w:r>
    </w:p>
    <w:p w14:paraId="0F083C48" w14:textId="77777777" w:rsidR="00B03780" w:rsidRDefault="00B03780">
      <w:pPr>
        <w:pStyle w:val="changeadd"/>
      </w:pPr>
      <w:r>
        <w:t>Указ Президента Республики Беларусь от 20 мая 2013 г. № 229 (Национальный правовой Интернет-портал Республики Беларусь, 22.05.2013, 1/14274) &lt;P31300229&gt;;</w:t>
      </w:r>
    </w:p>
    <w:p w14:paraId="49FD4450" w14:textId="77777777" w:rsidR="00B03780" w:rsidRDefault="00B03780">
      <w:pPr>
        <w:pStyle w:val="changeadd"/>
      </w:pPr>
      <w:r>
        <w:t>Указ Президента Республики Беларусь от 15 июня 2016 г. № 223 (Национальный правовой Интернет-портал Республики Беларусь, 17.06.2016, 1/16480) &lt;P31600223&gt;</w:t>
      </w:r>
    </w:p>
    <w:p w14:paraId="143286B5" w14:textId="77777777" w:rsidR="00B03780" w:rsidRDefault="00B03780">
      <w:pPr>
        <w:pStyle w:val="newncpi"/>
      </w:pPr>
      <w:r>
        <w:t> </w:t>
      </w:r>
    </w:p>
    <w:p w14:paraId="716698D4" w14:textId="77777777" w:rsidR="00B03780" w:rsidRDefault="00B03780">
      <w:pPr>
        <w:pStyle w:val="newncpi"/>
      </w:pPr>
      <w:r>
        <w:t>В целях совершенствования инновационной деятельности, создания дополнительных условий для развития высокотехнологичных производств и повышения инновационной активности организаций:</w:t>
      </w:r>
    </w:p>
    <w:p w14:paraId="0801FD5F" w14:textId="77777777" w:rsidR="00B03780" w:rsidRDefault="00B03780">
      <w:pPr>
        <w:pStyle w:val="point"/>
      </w:pPr>
      <w:r>
        <w:t>1. Установить, что:</w:t>
      </w:r>
    </w:p>
    <w:p w14:paraId="4F61DED5" w14:textId="77777777" w:rsidR="00B03780" w:rsidRDefault="00B03780">
      <w:pPr>
        <w:pStyle w:val="underpoint"/>
      </w:pPr>
      <w:r>
        <w:t xml:space="preserve">1.1. Белорусский инновационный фонд (далее – </w:t>
      </w:r>
      <w:proofErr w:type="spellStart"/>
      <w:r>
        <w:t>Белинфонд</w:t>
      </w:r>
      <w:proofErr w:type="spellEnd"/>
      <w:r>
        <w:t>) является субъектом инновационной инфраструктуры и в соответствии с законодательством:</w:t>
      </w:r>
    </w:p>
    <w:p w14:paraId="78AE697E" w14:textId="77777777" w:rsidR="00B03780" w:rsidRDefault="00B03780">
      <w:pPr>
        <w:pStyle w:val="newncpi"/>
      </w:pPr>
      <w:r>
        <w:t xml:space="preserve">осуществляет финансирование научно-исследовательских, опытно-конструкторских и опытно-технологических работ, выполняемых в рамках реализации инновационных проектов (далее, если не установлено иное, – проекты), работ по организации и освоению производства научно-технической продукции, полученной в результате выполнения инновационных проектов и заданий государственных научно-технических программ (далее – работы по организации и освоению производства), и оказание государственной финансовой поддержки при реализации инновационных проектов в виде предоставления инновационных ваучеров и грантов за счет направляемых на эти цели </w:t>
      </w:r>
      <w:proofErr w:type="spellStart"/>
      <w:r>
        <w:t>Белинфонду</w:t>
      </w:r>
      <w:proofErr w:type="spellEnd"/>
      <w:r>
        <w:t xml:space="preserve"> средств инновационных фондов, формируемых в установленном законодательством порядке (далее – средства инновационных фондов);</w:t>
      </w:r>
    </w:p>
    <w:p w14:paraId="5611F7FD" w14:textId="77777777" w:rsidR="00B03780" w:rsidRDefault="00B03780">
      <w:pPr>
        <w:pStyle w:val="newncpi"/>
      </w:pPr>
      <w:r>
        <w:t xml:space="preserve">осуществляет финансирование венчурных проектов* и участвует в создании венчурных организаций*, за исключением венчурных организаций, создаваемых в форме обществ с дополнительной ответственностью, за счет выделяемых на эти цели </w:t>
      </w:r>
      <w:proofErr w:type="spellStart"/>
      <w:r>
        <w:t>Белинфонду</w:t>
      </w:r>
      <w:proofErr w:type="spellEnd"/>
      <w:r>
        <w:t xml:space="preserve"> средств республиканского бюджета, предусматриваемых на научную, научно-техническую и инновационную деятельность, а также средств, указанных в части третьей пункта 1</w:t>
      </w:r>
      <w:r>
        <w:rPr>
          <w:vertAlign w:val="superscript"/>
        </w:rPr>
        <w:t xml:space="preserve">1 </w:t>
      </w:r>
      <w:r>
        <w:t>настоящего Указа;</w:t>
      </w:r>
    </w:p>
    <w:p w14:paraId="0A639070" w14:textId="77777777" w:rsidR="00B03780" w:rsidRDefault="00B03780">
      <w:pPr>
        <w:pStyle w:val="snoskiline"/>
      </w:pPr>
      <w:r>
        <w:t>______________________________</w:t>
      </w:r>
    </w:p>
    <w:p w14:paraId="28A8BEE7" w14:textId="77777777" w:rsidR="00B03780" w:rsidRDefault="00B03780">
      <w:pPr>
        <w:pStyle w:val="snoski"/>
        <w:spacing w:after="240"/>
        <w:ind w:firstLine="567"/>
      </w:pPr>
      <w:r>
        <w:t>* Для целей настоящего Указа термины «венчурный проект» и «венчурная организация» используются в значениях, определенных в статье 1 Закона Республики Беларусь от 10 июля 2012 года «О государственной инновационной политике и инновационной деятельности в Республике Беларусь» (Национальный правовой Интернет-портал Республики Беларусь, 26.07.2012, 2/1977).</w:t>
      </w:r>
    </w:p>
    <w:p w14:paraId="6CB06FD1" w14:textId="77777777" w:rsidR="00B03780" w:rsidRDefault="00B03780">
      <w:pPr>
        <w:pStyle w:val="underpoint"/>
      </w:pPr>
      <w:r>
        <w:t xml:space="preserve">1.2. финансирование проектов и работ по организации и освоению производства за счет средств инновационных фондов, направляемых на эти цели </w:t>
      </w:r>
      <w:proofErr w:type="spellStart"/>
      <w:r>
        <w:t>Белинфонду</w:t>
      </w:r>
      <w:proofErr w:type="spellEnd"/>
      <w:r>
        <w:t xml:space="preserve">, а также венчурных проектов за счет выделяемых на эти цели </w:t>
      </w:r>
      <w:proofErr w:type="spellStart"/>
      <w:r>
        <w:t>Белинфонду</w:t>
      </w:r>
      <w:proofErr w:type="spellEnd"/>
      <w:r>
        <w:t xml:space="preserve"> средств республиканского бюджета, предусматриваемых на научную, научно-техническую и инновационную деятельность, а также средств, указанных в части третьей пункта 1</w:t>
      </w:r>
      <w:r>
        <w:rPr>
          <w:vertAlign w:val="superscript"/>
        </w:rPr>
        <w:t xml:space="preserve">1 </w:t>
      </w:r>
      <w:r>
        <w:lastRenderedPageBreak/>
        <w:t xml:space="preserve">настоящего Указа, осуществляется на основании договоров, заключаемых </w:t>
      </w:r>
      <w:proofErr w:type="spellStart"/>
      <w:r>
        <w:t>Белинфондом</w:t>
      </w:r>
      <w:proofErr w:type="spellEnd"/>
      <w:r>
        <w:t xml:space="preserve"> с организациями – исполнителями проектов и работ по организации и освоению производства, венчурных проектов, на условиях платности, срочности и возвратности, если иное не установлено Президентом Республики Беларусь или Правительством Республики Беларусь по согласованию с Президентом Республики Беларусь. Проекты и работы по организации и освоению производства, венчурные проекты финансируются после прохождения в установленном порядке государственной научно-технической экспертизы и конкурсного отбора, а основанием для открытия финансирования являются приказы Государственного комитета по науке и технологиям (далее – ГКНТ).</w:t>
      </w:r>
    </w:p>
    <w:p w14:paraId="47BEA534" w14:textId="77777777" w:rsidR="00B03780" w:rsidRDefault="00B03780">
      <w:pPr>
        <w:pStyle w:val="newncpi"/>
      </w:pPr>
      <w:r>
        <w:t>Инновационные ваучеры и гранты предоставляются на безвозвратной основе при реализации инновационных проектов после прохождения в установленном законодательством порядке конкурсного отбора, а в случаях, предусмотренных Президентом Республики Беларусь, – и государственной научно-технической экспертизы. Основанием для предоставления инновационных ваучеров и грантов являются приказы ГКНТ;</w:t>
      </w:r>
    </w:p>
    <w:p w14:paraId="77D49487" w14:textId="77777777" w:rsidR="00B03780" w:rsidRDefault="00B03780">
      <w:pPr>
        <w:pStyle w:val="underpoint"/>
      </w:pPr>
      <w:r>
        <w:t>1.3. за пользование организациями – исполнителями проектов и работ по организации и освоению производства, венчурных проектов средствами, выделяемыми в соответствии с частью первой подпункта 1.2 настоящего пункта, начисляются проценты в размере 0,5 ставки рефинансирования Национального банка, действующей на день их начисления, начиная со дня, следующего за днем выдачи указанных средств.</w:t>
      </w:r>
    </w:p>
    <w:p w14:paraId="3152FAAD" w14:textId="77777777" w:rsidR="00B03780" w:rsidRDefault="00B03780">
      <w:pPr>
        <w:pStyle w:val="newncpi"/>
      </w:pPr>
      <w:r>
        <w:t xml:space="preserve">Возврат средств, выделенных на финансирование проектов и работ по организации и освоению производства, а также уплата процентов за пользование указанными средствами осуществляются организациями – исполнителями проектов и работ по организации и освоению производства на текущий (расчетный) банковский счет </w:t>
      </w:r>
      <w:proofErr w:type="spellStart"/>
      <w:r>
        <w:t>Белинфонда</w:t>
      </w:r>
      <w:proofErr w:type="spellEnd"/>
      <w:r>
        <w:t xml:space="preserve"> с последующим их перечислением в последний рабочий день месяца в республиканский бюджет.</w:t>
      </w:r>
    </w:p>
    <w:p w14:paraId="57678D99" w14:textId="77777777" w:rsidR="00B03780" w:rsidRDefault="00B03780">
      <w:pPr>
        <w:pStyle w:val="newncpi"/>
      </w:pPr>
      <w:r>
        <w:t xml:space="preserve">Дивиденды по акциям и другие доходы, полученные от участия в уставных фондах венчурных организаций за счет выделяемых на эти цели </w:t>
      </w:r>
      <w:proofErr w:type="spellStart"/>
      <w:r>
        <w:t>Белинфонду</w:t>
      </w:r>
      <w:proofErr w:type="spellEnd"/>
      <w:r>
        <w:t xml:space="preserve"> средств республиканского бюджета, предусматриваемых на научную, научно-техническую и инновационную деятельность, поступают на текущий (расчетный) банковский счет </w:t>
      </w:r>
      <w:proofErr w:type="spellStart"/>
      <w:r>
        <w:t>Белинфонда</w:t>
      </w:r>
      <w:proofErr w:type="spellEnd"/>
      <w:r>
        <w:t xml:space="preserve"> с последующим их перечислением в последний рабочий день месяца в республиканский бюджет.</w:t>
      </w:r>
    </w:p>
    <w:p w14:paraId="3AAFFCC0" w14:textId="77777777" w:rsidR="00B03780" w:rsidRDefault="00B03780">
      <w:pPr>
        <w:pStyle w:val="newncpi"/>
      </w:pPr>
      <w:r>
        <w:t xml:space="preserve">Возврат средств, выделенных на финансирование венчурных проектов, уплата процентов за пользование указанными средствами осуществляются организациями – исполнителями венчурных проектов на текущий (расчетный) банковский счет </w:t>
      </w:r>
      <w:proofErr w:type="spellStart"/>
      <w:r>
        <w:t>Белинфонда</w:t>
      </w:r>
      <w:proofErr w:type="spellEnd"/>
      <w:r>
        <w:t xml:space="preserve">. Полученные средства используются </w:t>
      </w:r>
      <w:proofErr w:type="spellStart"/>
      <w:r>
        <w:t>Белинфондом</w:t>
      </w:r>
      <w:proofErr w:type="spellEnd"/>
      <w:r>
        <w:t xml:space="preserve"> для финансирования:</w:t>
      </w:r>
    </w:p>
    <w:p w14:paraId="0C80273F" w14:textId="77777777" w:rsidR="00B03780" w:rsidRDefault="00B03780">
      <w:pPr>
        <w:pStyle w:val="newncpi"/>
      </w:pPr>
      <w:r>
        <w:t>венчурных проектов на условиях, предусмотренных в части первой подпункта 1.2, части первой настоящего подпункта, подпункте 1.4, части первой подпункта 1.5 настоящего пункта;</w:t>
      </w:r>
    </w:p>
    <w:p w14:paraId="2B6E5908" w14:textId="77777777" w:rsidR="00B03780" w:rsidRDefault="00B03780">
      <w:pPr>
        <w:pStyle w:val="newncpi"/>
      </w:pPr>
      <w:r>
        <w:t>создания венчурных организаций (в том числе международных), других субъектов инновационной инфраструктуры.</w:t>
      </w:r>
    </w:p>
    <w:p w14:paraId="435A43C6" w14:textId="77777777" w:rsidR="00B03780" w:rsidRDefault="00B03780">
      <w:pPr>
        <w:pStyle w:val="newncpi"/>
      </w:pPr>
      <w:r>
        <w:t xml:space="preserve">В случае использования </w:t>
      </w:r>
      <w:proofErr w:type="spellStart"/>
      <w:r>
        <w:t>Белинфондом</w:t>
      </w:r>
      <w:proofErr w:type="spellEnd"/>
      <w:r>
        <w:t xml:space="preserve"> средств, полученных в соответствии с частью четвертой настоящего подпункта, не по целевому назначению указанные средства подлежат взысканию в бесспорном порядке в республиканский бюджет с начислением пени в размере ставки рефинансирования Национального банка, действующей на дату взыскания, на основании решения, принимаемого ГКНТ, а также Комитетом государственного контроля или Министерством финансов.</w:t>
      </w:r>
    </w:p>
    <w:p w14:paraId="78E6E1C9" w14:textId="77777777" w:rsidR="00B03780" w:rsidRDefault="00B03780">
      <w:pPr>
        <w:pStyle w:val="newncpi"/>
      </w:pPr>
      <w:r>
        <w:t xml:space="preserve">В случае использования организацией – исполнителем венчурных проектов средств, полученных в соответствии с частью первой подпункта 1.2 настоящего пункта, не по целевому назначению указанные средства подлежат досрочному возврату (взысканию) в соответствии с законодательством на текущий (расчетный) банковский счет </w:t>
      </w:r>
      <w:proofErr w:type="spellStart"/>
      <w:r>
        <w:t>Белинфонда</w:t>
      </w:r>
      <w:proofErr w:type="spellEnd"/>
      <w:r>
        <w:t xml:space="preserve"> с </w:t>
      </w:r>
      <w:r>
        <w:lastRenderedPageBreak/>
        <w:t>начислением пени в размере ставки рефинансирования Национального банка, действующей на дату возврата (взыскания);</w:t>
      </w:r>
    </w:p>
    <w:p w14:paraId="4C70DA93" w14:textId="77777777" w:rsidR="00B03780" w:rsidRDefault="00B03780">
      <w:pPr>
        <w:pStyle w:val="underpoint"/>
      </w:pPr>
      <w:r>
        <w:t>1.4. организациям – исполнителям проектов и работ по организации и освоению производства, венчурных проектов по решению ГКНТ может быть предоставлена отсрочка сроком до двух лет:</w:t>
      </w:r>
    </w:p>
    <w:p w14:paraId="207E0B4D" w14:textId="77777777" w:rsidR="00B03780" w:rsidRDefault="00B03780">
      <w:pPr>
        <w:pStyle w:val="newncpi"/>
      </w:pPr>
      <w:r>
        <w:t>по возврату выделенных в соответствии с частью первой подпункта 1.2 настоящего пункта средств, исчисляемая со дня окончания установленных договором сроков возврата этих средств. При этом общий срок пользования выделенными средствами и их возврата не должен превышать семи лет со дня начала действия договора;</w:t>
      </w:r>
    </w:p>
    <w:p w14:paraId="1E8450E8" w14:textId="77777777" w:rsidR="00B03780" w:rsidRDefault="00B03780">
      <w:pPr>
        <w:pStyle w:val="newncpi"/>
      </w:pPr>
      <w:r>
        <w:t>по уплате процентов за пользование выделенными средствами, исчисляемая со дня окончания установленного договором срока выдачи этих средств;</w:t>
      </w:r>
    </w:p>
    <w:p w14:paraId="55209624" w14:textId="77777777" w:rsidR="00B03780" w:rsidRDefault="00B03780">
      <w:pPr>
        <w:pStyle w:val="underpoint"/>
      </w:pPr>
      <w:r>
        <w:t>1.5. при нарушении организацией – исполнителем проектов и работ по организации и освоению производства, венчурных проектов установленных договором сроков возврата выделенных средств начисляется пеня в размере процентов, указанных в договоре, увеличенных в 1,5 раза. Пеня начисляется со дня, следующего за днем наступления обязательства по возврату выделенных средств.</w:t>
      </w:r>
    </w:p>
    <w:p w14:paraId="5E2CD651" w14:textId="77777777" w:rsidR="00B03780" w:rsidRDefault="00B03780">
      <w:pPr>
        <w:pStyle w:val="newncpi"/>
      </w:pPr>
      <w:r>
        <w:t xml:space="preserve">Неисполненные обязательства по возврату средств, выделяемых в соответствии с частью первой подпункта 1.2 настоящего пункта, уплате процентов за пользование ими и пени подлежат взысканию в бесспорном порядке в республиканский бюджет на основании решения, принимаемого ГКНТ по представлению </w:t>
      </w:r>
      <w:proofErr w:type="spellStart"/>
      <w:r>
        <w:t>Белинфонда</w:t>
      </w:r>
      <w:proofErr w:type="spellEnd"/>
      <w:r>
        <w:t>, а также Комитетом государственного контроля или Министерством финансов;</w:t>
      </w:r>
    </w:p>
    <w:p w14:paraId="7926C933" w14:textId="77777777" w:rsidR="00B03780" w:rsidRDefault="00B03780">
      <w:pPr>
        <w:pStyle w:val="underpoint"/>
      </w:pPr>
      <w:r>
        <w:t xml:space="preserve">1.6. финансирование расходов исполнительной дирекции </w:t>
      </w:r>
      <w:proofErr w:type="spellStart"/>
      <w:r>
        <w:t>Белинфонда</w:t>
      </w:r>
      <w:proofErr w:type="spellEnd"/>
      <w:r>
        <w:t xml:space="preserve">, включая расходы на оплату труда его работников, осуществляется за счет выделяемых </w:t>
      </w:r>
      <w:proofErr w:type="spellStart"/>
      <w:r>
        <w:t>Белинфонду</w:t>
      </w:r>
      <w:proofErr w:type="spellEnd"/>
      <w:r>
        <w:t xml:space="preserve"> в соответствии с подпунктом 1.1 настоящего пункта средств инновационных фондов, средств республиканского бюджета, предусмотренных на научную, научно-техническую и инновационную деятельность (за исключением средств, выделяемых </w:t>
      </w:r>
      <w:proofErr w:type="spellStart"/>
      <w:r>
        <w:t>Белинфонду</w:t>
      </w:r>
      <w:proofErr w:type="spellEnd"/>
      <w:r>
        <w:t xml:space="preserve"> для участия в создании венчурных организаций, и средств, выделяемых в соответствии с подпунктом 2.1 пункта 2 настоящего Указа), в размере не более 1,3 процента от годового объема указанных средств отдельно по каждому источнику финансирования.</w:t>
      </w:r>
    </w:p>
    <w:p w14:paraId="60019952" w14:textId="77777777" w:rsidR="00B03780" w:rsidRDefault="00B03780">
      <w:pPr>
        <w:pStyle w:val="point"/>
      </w:pPr>
      <w:r>
        <w:t>1</w:t>
      </w:r>
      <w:r>
        <w:rPr>
          <w:vertAlign w:val="superscript"/>
        </w:rPr>
        <w:t>1</w:t>
      </w:r>
      <w:r>
        <w:t xml:space="preserve">. Предоставить </w:t>
      </w:r>
      <w:proofErr w:type="spellStart"/>
      <w:r>
        <w:t>Белинфонду</w:t>
      </w:r>
      <w:proofErr w:type="spellEnd"/>
      <w:r>
        <w:t xml:space="preserve"> право долевого участия за счет выделяемых ему средств республиканского бюджета, предусмотренных на научную, научно-техническую и инновационную деятельность, в совместном с открытым акционерным обществом «Российская венчурная компания» финансировании венчурных проектов в объеме, эквивалентном не более 700 млн. российских рублей, на основании договора о совместной деятельности без учета требований, установленных в подпунктах 1.2–1.5 пункта 1 настоящего Указа.</w:t>
      </w:r>
    </w:p>
    <w:p w14:paraId="3863B8EE" w14:textId="77777777" w:rsidR="00B03780" w:rsidRDefault="00B03780">
      <w:pPr>
        <w:pStyle w:val="newncpi"/>
      </w:pPr>
      <w:r>
        <w:t>Проект договора, указанного в части первой настоящего пункта, подлежит одобрению Советом Министров Республики Беларусь.</w:t>
      </w:r>
    </w:p>
    <w:p w14:paraId="64BA49A4" w14:textId="77777777" w:rsidR="00B03780" w:rsidRDefault="00B03780">
      <w:pPr>
        <w:pStyle w:val="newncpi"/>
      </w:pPr>
      <w:r>
        <w:t xml:space="preserve">Доходы, полученные </w:t>
      </w:r>
      <w:proofErr w:type="spellStart"/>
      <w:r>
        <w:t>Белинфондом</w:t>
      </w:r>
      <w:proofErr w:type="spellEnd"/>
      <w:r>
        <w:t xml:space="preserve"> от участия в договоре, указанном в части первой настоящего пункта, поступают на текущий (расчетный) банковский счет </w:t>
      </w:r>
      <w:proofErr w:type="spellStart"/>
      <w:r>
        <w:t>Белинфонда</w:t>
      </w:r>
      <w:proofErr w:type="spellEnd"/>
      <w:r>
        <w:t xml:space="preserve"> с последующим их использованием на финансирование венчурных проектов в порядке, установленном настоящим Указом.</w:t>
      </w:r>
    </w:p>
    <w:p w14:paraId="59A807D8" w14:textId="77777777" w:rsidR="00B03780" w:rsidRDefault="00B03780">
      <w:pPr>
        <w:pStyle w:val="newncpi"/>
      </w:pPr>
      <w:r>
        <w:t>Оценка эффективности использования средств, указанных в подпункте 2.1 пункта 2 настоящего Указа, осуществляется ГКНТ в установленном им порядке. При этом данная оценка может осуществляться не ранее чем через семь лет после заключения договора, указанного в части первой настоящего пункта, в отношении совместной деятельности в целом (совокупности всех профинансированных венчурных проектов) с учетом наличия повышенного риска недостижения запланированных результатов при реализации венчурных проектов.</w:t>
      </w:r>
    </w:p>
    <w:p w14:paraId="1E41DF8F" w14:textId="77777777" w:rsidR="00B03780" w:rsidRDefault="00B03780">
      <w:pPr>
        <w:pStyle w:val="point"/>
      </w:pPr>
      <w:r>
        <w:t>2. Совету Министров Республики Беларусь:</w:t>
      </w:r>
    </w:p>
    <w:p w14:paraId="602A2E9D" w14:textId="77777777" w:rsidR="00B03780" w:rsidRDefault="00B03780">
      <w:pPr>
        <w:pStyle w:val="underpoint"/>
      </w:pPr>
      <w:r>
        <w:t xml:space="preserve">2.1. при подготовке проекта нормативного правового акта об уточнении отдельных показателей республиканского бюджета на 2016 год и формировании проектов </w:t>
      </w:r>
      <w:r>
        <w:lastRenderedPageBreak/>
        <w:t xml:space="preserve">республиканского бюджета на последующие годы предусмотреть выделение </w:t>
      </w:r>
      <w:proofErr w:type="spellStart"/>
      <w:r>
        <w:t>Белинфонду</w:t>
      </w:r>
      <w:proofErr w:type="spellEnd"/>
      <w:r>
        <w:t xml:space="preserve"> средств, необходимых для выполнения им обязательств по договору, указанному в части первой пункта 1</w:t>
      </w:r>
      <w:r>
        <w:rPr>
          <w:vertAlign w:val="superscript"/>
        </w:rPr>
        <w:t>1</w:t>
      </w:r>
      <w:r>
        <w:t xml:space="preserve"> настоящего Указа, в сумме, эквивалентной не более 700 млн. российских рублей;</w:t>
      </w:r>
    </w:p>
    <w:p w14:paraId="4D4B29AE" w14:textId="77777777" w:rsidR="00B03780" w:rsidRDefault="00B03780">
      <w:pPr>
        <w:pStyle w:val="underpoint"/>
      </w:pPr>
      <w:r>
        <w:t>2.2. в трехмесячный срок обеспечить приведение актов законодательства в соответствие с настоящим Указом.</w:t>
      </w:r>
    </w:p>
    <w:p w14:paraId="578AE096" w14:textId="77777777" w:rsidR="00B03780" w:rsidRDefault="00B03780">
      <w:pPr>
        <w:pStyle w:val="point"/>
      </w:pPr>
      <w:r>
        <w:t>2</w:t>
      </w:r>
      <w:r>
        <w:rPr>
          <w:vertAlign w:val="superscript"/>
        </w:rPr>
        <w:t>1</w:t>
      </w:r>
      <w:r>
        <w:t xml:space="preserve">. ГКНТ ежегодно до 25 февраля в установленном порядке представлять в Совет Министров Республики Беларусь отчет о ходе выполнения </w:t>
      </w:r>
      <w:proofErr w:type="spellStart"/>
      <w:r>
        <w:t>Белинфондом</w:t>
      </w:r>
      <w:proofErr w:type="spellEnd"/>
      <w:r>
        <w:t xml:space="preserve"> обязательств и осуществлении совместной деятельности по договору, указанному в части первой пункта 1</w:t>
      </w:r>
      <w:r>
        <w:rPr>
          <w:vertAlign w:val="superscript"/>
        </w:rPr>
        <w:t>1</w:t>
      </w:r>
      <w:r>
        <w:t xml:space="preserve"> настоящего Указа.</w:t>
      </w:r>
    </w:p>
    <w:p w14:paraId="05D6B54F" w14:textId="77777777" w:rsidR="00B03780" w:rsidRDefault="00B03780">
      <w:pPr>
        <w:pStyle w:val="point"/>
      </w:pPr>
      <w:r>
        <w:t>3. Контроль за выполнением настоящего Указа возложить на Совет Министров Республики Беларусь.</w:t>
      </w:r>
    </w:p>
    <w:p w14:paraId="18F650DF" w14:textId="77777777" w:rsidR="00B03780" w:rsidRDefault="00B03780">
      <w:pPr>
        <w:pStyle w:val="point"/>
      </w:pPr>
      <w:r>
        <w:t>4. Настоящий Указ вступает в силу со дня его официального опубликования.</w:t>
      </w:r>
    </w:p>
    <w:p w14:paraId="3C894531" w14:textId="77777777" w:rsidR="00B03780" w:rsidRDefault="00B0378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B03780" w14:paraId="4586B97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303BE5" w14:textId="77777777" w:rsidR="00B03780" w:rsidRDefault="00B0378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76AAE4" w14:textId="77777777" w:rsidR="00B03780" w:rsidRDefault="00B0378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5C86768E" w14:textId="77777777" w:rsidR="00B03780" w:rsidRDefault="00B03780">
      <w:pPr>
        <w:pStyle w:val="newncpi0"/>
      </w:pPr>
      <w:r>
        <w:t> </w:t>
      </w:r>
    </w:p>
    <w:p w14:paraId="2D7EFB61" w14:textId="77777777" w:rsidR="00F2172B" w:rsidRDefault="00F2172B"/>
    <w:sectPr w:rsidR="00F2172B" w:rsidSect="00B03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0C63" w14:textId="77777777" w:rsidR="00B342D6" w:rsidRDefault="00B342D6" w:rsidP="00B03780">
      <w:pPr>
        <w:spacing w:after="0" w:line="240" w:lineRule="auto"/>
      </w:pPr>
      <w:r>
        <w:separator/>
      </w:r>
    </w:p>
  </w:endnote>
  <w:endnote w:type="continuationSeparator" w:id="0">
    <w:p w14:paraId="57E9B4A0" w14:textId="77777777" w:rsidR="00B342D6" w:rsidRDefault="00B342D6" w:rsidP="00B0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20ED" w14:textId="77777777" w:rsidR="00B03780" w:rsidRDefault="00B037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AC93" w14:textId="77777777" w:rsidR="00B03780" w:rsidRDefault="00B037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03780" w14:paraId="1B5D3308" w14:textId="77777777" w:rsidTr="00B03780">
      <w:tc>
        <w:tcPr>
          <w:tcW w:w="1800" w:type="dxa"/>
          <w:shd w:val="clear" w:color="auto" w:fill="auto"/>
          <w:vAlign w:val="center"/>
        </w:tcPr>
        <w:p w14:paraId="3CB1A4AB" w14:textId="77777777" w:rsidR="00B03780" w:rsidRDefault="00B03780">
          <w:pPr>
            <w:pStyle w:val="a5"/>
          </w:pPr>
          <w:r>
            <w:rPr>
              <w:noProof/>
            </w:rPr>
            <w:drawing>
              <wp:inline distT="0" distB="0" distL="0" distR="0" wp14:anchorId="5D162A45" wp14:editId="366082C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6070E90" w14:textId="77777777" w:rsidR="00B03780" w:rsidRDefault="00B037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7C66701" w14:textId="77777777" w:rsidR="00B03780" w:rsidRDefault="00B037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716A7025" w14:textId="77777777" w:rsidR="00B03780" w:rsidRPr="00B03780" w:rsidRDefault="00B0378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17B697C" w14:textId="77777777" w:rsidR="00B03780" w:rsidRDefault="00B037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5583" w14:textId="77777777" w:rsidR="00B342D6" w:rsidRDefault="00B342D6" w:rsidP="00B03780">
      <w:pPr>
        <w:spacing w:after="0" w:line="240" w:lineRule="auto"/>
      </w:pPr>
      <w:r>
        <w:separator/>
      </w:r>
    </w:p>
  </w:footnote>
  <w:footnote w:type="continuationSeparator" w:id="0">
    <w:p w14:paraId="05CE17F5" w14:textId="77777777" w:rsidR="00B342D6" w:rsidRDefault="00B342D6" w:rsidP="00B0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69F" w14:textId="77777777" w:rsidR="00B03780" w:rsidRDefault="00B03780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FCC5E37" w14:textId="77777777" w:rsidR="00B03780" w:rsidRDefault="00B03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0438" w14:textId="77777777" w:rsidR="00B03780" w:rsidRPr="00B03780" w:rsidRDefault="00B03780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3780">
      <w:rPr>
        <w:rStyle w:val="a7"/>
        <w:rFonts w:ascii="Times New Roman" w:hAnsi="Times New Roman" w:cs="Times New Roman"/>
        <w:sz w:val="24"/>
      </w:rPr>
      <w:fldChar w:fldCharType="begin"/>
    </w:r>
    <w:r w:rsidRPr="00B0378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03780">
      <w:rPr>
        <w:rStyle w:val="a7"/>
        <w:rFonts w:ascii="Times New Roman" w:hAnsi="Times New Roman" w:cs="Times New Roman"/>
        <w:sz w:val="24"/>
      </w:rPr>
      <w:fldChar w:fldCharType="separate"/>
    </w:r>
    <w:r w:rsidRPr="00B03780">
      <w:rPr>
        <w:rStyle w:val="a7"/>
        <w:rFonts w:ascii="Times New Roman" w:hAnsi="Times New Roman" w:cs="Times New Roman"/>
        <w:noProof/>
        <w:sz w:val="24"/>
      </w:rPr>
      <w:t>2</w:t>
    </w:r>
    <w:r w:rsidRPr="00B03780">
      <w:rPr>
        <w:rStyle w:val="a7"/>
        <w:rFonts w:ascii="Times New Roman" w:hAnsi="Times New Roman" w:cs="Times New Roman"/>
        <w:sz w:val="24"/>
      </w:rPr>
      <w:fldChar w:fldCharType="end"/>
    </w:r>
  </w:p>
  <w:p w14:paraId="4DAABD0C" w14:textId="77777777" w:rsidR="00B03780" w:rsidRPr="00B03780" w:rsidRDefault="00B0378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753C" w14:textId="77777777" w:rsidR="00B03780" w:rsidRDefault="00B03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80"/>
    <w:rsid w:val="00B03780"/>
    <w:rsid w:val="00B342D6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6648A"/>
  <w15:chartTrackingRefBased/>
  <w15:docId w15:val="{EBE36221-BB5E-4135-850D-640D26C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037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B037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B037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B037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B0378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changeadd">
    <w:name w:val="changeadd"/>
    <w:basedOn w:val="a"/>
    <w:rsid w:val="00B0378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B0378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B037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037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B0378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37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37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378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037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378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03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80"/>
  </w:style>
  <w:style w:type="paragraph" w:styleId="a5">
    <w:name w:val="footer"/>
    <w:basedOn w:val="a"/>
    <w:link w:val="a6"/>
    <w:uiPriority w:val="99"/>
    <w:unhideWhenUsed/>
    <w:rsid w:val="00B0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780"/>
  </w:style>
  <w:style w:type="character" w:styleId="a7">
    <w:name w:val="page number"/>
    <w:basedOn w:val="a0"/>
    <w:uiPriority w:val="99"/>
    <w:semiHidden/>
    <w:unhideWhenUsed/>
    <w:rsid w:val="00B03780"/>
  </w:style>
  <w:style w:type="table" w:styleId="a8">
    <w:name w:val="Table Grid"/>
    <w:basedOn w:val="a1"/>
    <w:uiPriority w:val="39"/>
    <w:rsid w:val="00B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9899</Characters>
  <Application>Microsoft Office Word</Application>
  <DocSecurity>0</DocSecurity>
  <Lines>170</Lines>
  <Paragraphs>48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2024-01-30T15:29:00Z</dcterms:created>
  <dcterms:modified xsi:type="dcterms:W3CDTF">2024-01-30T15:30:00Z</dcterms:modified>
</cp:coreProperties>
</file>