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9A" w:rsidRDefault="004706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069A" w:rsidRDefault="0047069A">
      <w:pPr>
        <w:pStyle w:val="ConsPlusNormal"/>
        <w:jc w:val="both"/>
        <w:outlineLvl w:val="0"/>
      </w:pPr>
    </w:p>
    <w:p w:rsidR="0047069A" w:rsidRDefault="0047069A">
      <w:pPr>
        <w:pStyle w:val="ConsPlusTitle"/>
        <w:jc w:val="center"/>
        <w:outlineLvl w:val="0"/>
      </w:pPr>
      <w:r>
        <w:t>ПОСТАНОВЛЕНИЕ МИНИСТЕРСТВА ЭКОНОМИКИ РЕСПУБЛИКИ БЕЛАРУСЬ, ГОСУДАРСТВЕННОГО КОМИТЕТА ПО НАУКЕ И ТЕХНОЛОГИЯМ РЕСПУБЛИКИ БЕЛАРУСЬ</w:t>
      </w:r>
    </w:p>
    <w:p w:rsidR="0047069A" w:rsidRDefault="0047069A">
      <w:pPr>
        <w:pStyle w:val="ConsPlusTitle"/>
        <w:jc w:val="center"/>
      </w:pPr>
      <w:r>
        <w:t>23 мая 2017 г. N 12/11</w:t>
      </w:r>
    </w:p>
    <w:p w:rsidR="0047069A" w:rsidRDefault="0047069A">
      <w:pPr>
        <w:pStyle w:val="ConsPlusTitle"/>
        <w:jc w:val="center"/>
      </w:pPr>
    </w:p>
    <w:p w:rsidR="0047069A" w:rsidRDefault="0047069A">
      <w:pPr>
        <w:pStyle w:val="ConsPlusTitle"/>
        <w:jc w:val="center"/>
      </w:pPr>
      <w:r>
        <w:t>ОБ УТВЕРЖДЕНИИ МЕТОДИЧЕСКИХ РЕКОМЕНДАЦИЙ О ПОРЯДКЕ РАСЧЕТА И ОЦЕНКЕ СООТВЕТСТВИЯ КРИТЕРИЯМ, УСТАНОВЛЕННЫМ УКАЗОМ ПРЕЗИДЕНТА РЕСПУБЛИКИ БЕЛАРУСЬ ОТ 7 АВГУСТА 2012 Г. N 357</w:t>
      </w:r>
    </w:p>
    <w:p w:rsidR="0047069A" w:rsidRDefault="00470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0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069A" w:rsidRDefault="004706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Минэкономики, Госкомитета по науке и технологиям от 30.01.2019 </w:t>
            </w:r>
            <w:hyperlink r:id="rId5" w:history="1">
              <w:r>
                <w:rPr>
                  <w:color w:val="0000FF"/>
                </w:rPr>
                <w:t>N 2/31</w:t>
              </w:r>
            </w:hyperlink>
            <w:r>
              <w:rPr>
                <w:color w:val="392C69"/>
              </w:rPr>
              <w:t>,</w:t>
            </w:r>
          </w:p>
          <w:p w:rsidR="0047069A" w:rsidRDefault="00470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6" w:history="1">
              <w:r>
                <w:rPr>
                  <w:color w:val="0000FF"/>
                </w:rPr>
                <w:t>N 11/10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подпункта 5.41 пункта 5</w:t>
        </w:r>
      </w:hyperlink>
      <w:r>
        <w:t xml:space="preserve"> Положения о Министерстве экономики Республики Беларусь, утвержденного постановлением Совета Министров Республики Беларусь от 29 июля 2006 г. N 967 "Вопросы Министерства экономики Республики Беларусь", и </w:t>
      </w:r>
      <w:hyperlink r:id="rId8" w:history="1">
        <w:r>
          <w:rPr>
            <w:color w:val="0000FF"/>
          </w:rPr>
          <w:t>подпункта 3.4 пункта 3</w:t>
        </w:r>
      </w:hyperlink>
      <w:r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N 282 "О Государственном комитете по науке и технологиям Республики Беларусь", Министерство экономики Республики Беларусь и Государственный комитет по науке и технологиям Республики Беларусь ПОСТАНОВЛЯЮТ: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34" w:history="1">
        <w:r>
          <w:rPr>
            <w:color w:val="0000FF"/>
          </w:rPr>
          <w:t>рекомендации</w:t>
        </w:r>
      </w:hyperlink>
      <w:r>
        <w:t xml:space="preserve"> о порядке расчета и оценке соответствия критериям, установленным Указом Президента Республики Беларусь от 7 августа 2012 г. N 357 (далее - Методические рекомендации).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2. Опубликовать Методические </w:t>
      </w:r>
      <w:hyperlink w:anchor="P34" w:history="1">
        <w:r>
          <w:rPr>
            <w:color w:val="0000FF"/>
          </w:rPr>
          <w:t>рекомендации</w:t>
        </w:r>
      </w:hyperlink>
      <w:r>
        <w:t xml:space="preserve"> на официальных сайтах Министерства экономики Республики Беларусь и Государственного комитета по науке и технологиям Республики Беларусь в глобальной компьютерной сети Интернет.</w:t>
      </w:r>
    </w:p>
    <w:p w:rsidR="0047069A" w:rsidRDefault="0047069A">
      <w:pPr>
        <w:pStyle w:val="ConsPlusNormal"/>
        <w:ind w:firstLine="540"/>
        <w:jc w:val="both"/>
      </w:pPr>
      <w:r>
        <w:t xml:space="preserve">Часть исключена с 20 мая 2022 года.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Минэкономики, Госкомитета по науке и технологиям от 20.05.2022 N 11/10.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3.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органам, другим государственным органам и организациям при оценке соответствия инновационных проектов критериям, установленным </w:t>
      </w:r>
      <w:hyperlink r:id="rId10" w:history="1">
        <w:r>
          <w:rPr>
            <w:color w:val="0000FF"/>
          </w:rPr>
          <w:t>пунктом 4</w:t>
        </w:r>
      </w:hyperlink>
      <w:r>
        <w:t xml:space="preserve"> Положения о порядке формирования и использования средств инновационных фондов, утвержденного Указом Президента Республики Беларусь от 7 августа 2012 г. N 357, руководствоваться Методическими </w:t>
      </w:r>
      <w:hyperlink w:anchor="P34" w:history="1">
        <w:r>
          <w:rPr>
            <w:color w:val="0000FF"/>
          </w:rPr>
          <w:t>рекомендациями</w:t>
        </w:r>
      </w:hyperlink>
      <w:r>
        <w:t>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подписания.</w:t>
      </w: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</w:pPr>
      <w:r>
        <w:t>Министр экономики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06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69A" w:rsidRDefault="0047069A">
            <w:pPr>
              <w:pStyle w:val="ConsPlusNormal"/>
              <w:spacing w:before="220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69A" w:rsidRDefault="0047069A">
            <w:pPr>
              <w:pStyle w:val="ConsPlusNormal"/>
              <w:spacing w:before="220"/>
              <w:jc w:val="right"/>
            </w:pPr>
            <w:r>
              <w:t>В.И.Зиновский</w:t>
            </w:r>
          </w:p>
        </w:tc>
      </w:tr>
    </w:tbl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</w:pPr>
      <w:r>
        <w:t>Председатель Государственного</w:t>
      </w:r>
    </w:p>
    <w:p w:rsidR="0047069A" w:rsidRDefault="0047069A">
      <w:pPr>
        <w:pStyle w:val="ConsPlusNormal"/>
        <w:spacing w:before="220"/>
      </w:pPr>
      <w:r>
        <w:t>комитета по науке и технологиям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06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69A" w:rsidRDefault="0047069A">
            <w:pPr>
              <w:pStyle w:val="ConsPlusNormal"/>
              <w:spacing w:before="220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69A" w:rsidRDefault="0047069A">
            <w:pPr>
              <w:pStyle w:val="ConsPlusNormal"/>
              <w:spacing w:before="220"/>
              <w:jc w:val="right"/>
            </w:pPr>
            <w:r>
              <w:t>А.Г.Шумилин</w:t>
            </w:r>
          </w:p>
        </w:tc>
      </w:tr>
    </w:tbl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nformat"/>
        <w:jc w:val="both"/>
      </w:pPr>
      <w:r>
        <w:t xml:space="preserve">                                            УТВЕРЖДЕНО</w:t>
      </w:r>
    </w:p>
    <w:p w:rsidR="0047069A" w:rsidRDefault="0047069A">
      <w:pPr>
        <w:pStyle w:val="ConsPlusNonformat"/>
        <w:jc w:val="both"/>
      </w:pPr>
      <w:r>
        <w:t xml:space="preserve">                                            Постановление Министерства</w:t>
      </w:r>
    </w:p>
    <w:p w:rsidR="0047069A" w:rsidRDefault="0047069A">
      <w:pPr>
        <w:pStyle w:val="ConsPlusNonformat"/>
        <w:jc w:val="both"/>
      </w:pPr>
      <w:r>
        <w:t xml:space="preserve">                                            экономики Республики</w:t>
      </w:r>
    </w:p>
    <w:p w:rsidR="0047069A" w:rsidRDefault="0047069A">
      <w:pPr>
        <w:pStyle w:val="ConsPlusNonformat"/>
        <w:jc w:val="both"/>
      </w:pPr>
      <w:r>
        <w:t xml:space="preserve">                                            Беларусь и Государственного</w:t>
      </w:r>
    </w:p>
    <w:p w:rsidR="0047069A" w:rsidRDefault="0047069A">
      <w:pPr>
        <w:pStyle w:val="ConsPlusNonformat"/>
        <w:jc w:val="both"/>
      </w:pPr>
      <w:r>
        <w:t xml:space="preserve">                                            комитета по науке и</w:t>
      </w:r>
    </w:p>
    <w:p w:rsidR="0047069A" w:rsidRDefault="0047069A">
      <w:pPr>
        <w:pStyle w:val="ConsPlusNonformat"/>
        <w:jc w:val="both"/>
      </w:pPr>
      <w:r>
        <w:t xml:space="preserve">                                            технологиям Республики Беларусь</w:t>
      </w:r>
    </w:p>
    <w:p w:rsidR="0047069A" w:rsidRDefault="0047069A">
      <w:pPr>
        <w:pStyle w:val="ConsPlusNonformat"/>
        <w:jc w:val="both"/>
      </w:pPr>
      <w:r>
        <w:t xml:space="preserve">                                            22 мая 2017 г. N 12/11</w:t>
      </w: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Title"/>
        <w:jc w:val="center"/>
      </w:pPr>
      <w:bookmarkStart w:id="0" w:name="P34"/>
      <w:bookmarkEnd w:id="0"/>
      <w:r>
        <w:t>МЕТОДИЧЕСКИЕ РЕКОМЕНДАЦИИ</w:t>
      </w:r>
    </w:p>
    <w:p w:rsidR="0047069A" w:rsidRDefault="0047069A">
      <w:pPr>
        <w:pStyle w:val="ConsPlusTitle"/>
        <w:jc w:val="center"/>
      </w:pPr>
      <w:r>
        <w:t>О ПОРЯДКЕ РАСЧЕТА И ОЦЕНКЕ СООТВЕТСТВИЯ КРИТЕРИЯМ, УСТАНОВЛЕННЫМ УКАЗОМ ПРЕЗИДЕНТА РЕСПУБЛИКИ БЕЛАРУСЬ ОТ 7 АВГУСТА 2012 Г. N 357</w:t>
      </w:r>
    </w:p>
    <w:p w:rsidR="0047069A" w:rsidRDefault="00470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0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069A" w:rsidRDefault="004706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Минэкономики, Госкомитета по науке и технологиям от 30.01.2019 N 2/31)</w:t>
            </w:r>
          </w:p>
        </w:tc>
      </w:tr>
    </w:tbl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ind w:firstLine="540"/>
        <w:jc w:val="both"/>
      </w:pPr>
      <w:bookmarkStart w:id="1" w:name="P38"/>
      <w:bookmarkEnd w:id="1"/>
      <w:r>
        <w:t xml:space="preserve">1. Настоящие Методические рекомендации предназначены для республиканских органов государственного управления, иных государственных организаций, подчиненных Правительству Республики Беларусь, местных исполнительных и распорядительных органов, других государственных органов и организаций и разработаны в целях установления единообразного подхода к расчету и оценке соответствия критериям, установленным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Положения о порядке формирования и использования средств инновационных фондов, утвержденного Указом Президента Республики Беларусь от 7 августа 2012 г. N 357 (в редакции Указа Президента Республики Беларусь от 28 ноября 2016 г. N 431) (далее - Указ N 357).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Указом N 357</w:t>
        </w:r>
      </w:hyperlink>
      <w:r>
        <w:t xml:space="preserve"> финансирование инновационных проектов за счет средств республиканского централизованного и местных инновационных фондов осуществляется при условии их соответствия следующим критериям: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организация технологического процесса, обеспечивающего средний уровень добавленной стоимости на одного работающего, аналогичный среднему уровню добавленной стоимости на одного работающего по соответствующему виду экономической деятельности в Европейском союзе (далее - ЕС), либо превышающий этот уровень;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экспортная ориентированность инновационного проекта (превышение экспорта над импортом);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создание и внедрение новых технологий и (или) производство новой для Республики Беларусь и (или) мировой экономики продукции.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Для оценки соответствия инновационных проектов указанным критериям используются данные из бизнес-плана инвестиционного проекта, разработанного в соответствии с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 разработке бизнес-планов инвестиционных проектов, утвержденными постановлением Министерства экономики Республики Беларусь от 31 августа 2005 г. N 158 (далее - Правила), и данные бухгалтерского учета.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2. Расчет добавленной стоимости на одного среднесписочного работника (производительности труда по добавленной стоимости) на уровне инновационного проекта путем создания новой организации или филиала.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Добавленная стоимость на одного работника по проекту (производительность труда по добавленной стоимости) (ДСраб(н))</w:t>
      </w: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center"/>
      </w:pPr>
      <w:r w:rsidRPr="00A32D4F">
        <w:rPr>
          <w:position w:val="-26"/>
        </w:rPr>
        <w:pict>
          <v:shape id="_x0000_i1025" style="width:313.5pt;height:37.5pt" coordsize="" o:spt="100" adj="0,,0" path="" filled="f" stroked="f">
            <v:stroke joinstyle="miter"/>
            <v:imagedata r:id="rId15" o:title="base_45057_120732_32768"/>
            <v:formulas/>
            <v:path o:connecttype="segments"/>
          </v:shape>
        </w:pict>
      </w: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  <w:r>
        <w:t xml:space="preserve">где </w:t>
      </w:r>
      <w:r>
        <w:rPr>
          <w:b/>
        </w:rPr>
        <w:t>добавленная стоимость</w:t>
      </w:r>
      <w:r>
        <w:t xml:space="preserve"> - добавленная стоимость по проекту по данным </w:t>
      </w:r>
      <w:hyperlink r:id="rId16" w:history="1">
        <w:r>
          <w:rPr>
            <w:color w:val="0000FF"/>
          </w:rPr>
          <w:t>строки 12.8</w:t>
        </w:r>
      </w:hyperlink>
      <w:r>
        <w:t xml:space="preserve"> (используются данные столбца года, следующего за годом выхода на проектную мощность по проекту) таблицы 4-19 "Расчет чистого потока наличности и показателей эффективности проекта" (см. приложение 4 к Правилам).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В данном случае под показателем "добавленная стоимость" понимается объем производства продукции (работ, услуг) в отпускных ценах за вычетом начисленных налогов и сборов из выручки минус материальные затраты (без учета платы за природные ресурсы) и прочие затраты, состоящие из арендной платы, представительских расходов и услуг других организаций. При этом из прочих затрат исключаются вознаграждения за рационализаторские предложения и выплаты авторских гонораров, суточные и подъемные, начисленные налоги, сборы (пошлины), платежи, включаемые в себестоимость продукции (работ, услуг). Классификация статей затрат осуществляется на основании данных бухгалтерского учета;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rPr>
          <w:b/>
        </w:rPr>
        <w:t>среднесписочная численность работников</w:t>
      </w:r>
      <w:r>
        <w:t xml:space="preserve"> - среднесписочная численность работников по проекту, планируемому к реализации, по данным </w:t>
      </w:r>
      <w:hyperlink r:id="rId17" w:history="1">
        <w:r>
          <w:rPr>
            <w:color w:val="0000FF"/>
          </w:rPr>
          <w:t>строки 7</w:t>
        </w:r>
      </w:hyperlink>
      <w:r>
        <w:t xml:space="preserve"> (используются данные столбца года, следующего за годом выхода на проектную мощность по проекту) таблицы "Сводные показатели по проекту" (см. приложение 2 к Правилам).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3. Расчет добавленной стоимости на одного среднесписочного работника (производительности труда по добавленной стоимости) на уровне инновационного проекта, реализуемого в действующей организации (предприятии).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Добавленная стоимость на одного работника по проекту (производительность труда по добавленной стоимости) (ДСраб(д))</w:t>
      </w: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center"/>
      </w:pPr>
      <w:r w:rsidRPr="00A32D4F">
        <w:rPr>
          <w:position w:val="-26"/>
        </w:rPr>
        <w:pict>
          <v:shape id="_x0000_i1026" style="width:273.75pt;height:37.5pt" coordsize="" o:spt="100" adj="0,,0" path="" filled="f" stroked="f">
            <v:stroke joinstyle="miter"/>
            <v:imagedata r:id="rId18" o:title="base_45057_120732_32769"/>
            <v:formulas/>
            <v:path o:connecttype="segments"/>
          </v:shape>
        </w:pict>
      </w: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  <w:r>
        <w:t xml:space="preserve">где добавленная стоимость - добавленная стоимость по инновационному проекту (соответствующая году, следующему за годом выхода на проектную мощность), реализуемому в действующей организации (предприятии), по данным </w:t>
      </w:r>
      <w:hyperlink r:id="rId19" w:history="1">
        <w:r>
          <w:rPr>
            <w:color w:val="0000FF"/>
          </w:rPr>
          <w:t>строки 12.8. таблицы 4-19</w:t>
        </w:r>
      </w:hyperlink>
      <w:r>
        <w:t xml:space="preserve"> "Расчет чистого потока наличности и показателей эффективности проекта" (см. приложение 4 к Правилам);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rPr>
          <w:b/>
        </w:rPr>
        <w:t>расчетная численность работников</w:t>
      </w:r>
      <w:r>
        <w:t xml:space="preserve"> - среднесписочная численность работников, задействованных в создании добавленной стоимости по инновационному проекту.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Данный показатель определяется расчетным путем. Расчет и обоснование численности работников, задействованных в производственном процессе по проекту, планируемому к реализации, производятся инициатором проекта исходя из необходимой квалификации и численности специалистов (работников).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Как вариант, расчет можно произвести путем определения удельного веса принимающих участие в реализации проекта (задействованных в производственном процессе) по проекту от общего (списочного числа) по каждой категории специалистов (работников). При этом в случае получения не целого числа удельный вес по каждой категории специалистов (работников) округляется в большую сторону до целого числа.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При необходимости обосновывается введение многосменности в работе.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lastRenderedPageBreak/>
        <w:t xml:space="preserve">Оценка критерия </w:t>
      </w:r>
      <w:r>
        <w:rPr>
          <w:b/>
        </w:rPr>
        <w:t>"добавленная стоимость на одного работающего"</w:t>
      </w:r>
      <w:r>
        <w:t xml:space="preserve"> производится в сравнении с пороговыми значениями валовой добавленной стоимости в расчете на одного занятого по основным видам экономической деятельности в Европейском союзе, приведенными в прилагаемой </w:t>
      </w:r>
      <w:hyperlink w:anchor="P97" w:history="1">
        <w:r>
          <w:rPr>
            <w:color w:val="0000FF"/>
          </w:rPr>
          <w:t>таблице</w:t>
        </w:r>
      </w:hyperlink>
      <w:r>
        <w:t>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Для обеспечения соответствия критерию уровень добавленной стоимости на одного работающего по инновационному проекту должен быть равен или больше значения валовой добавленной стоимости в расчете на одного занятого в Европейском союзе по соответствующему виду экономической деятельности согласно </w:t>
      </w:r>
      <w:hyperlink w:anchor="P97" w:history="1">
        <w:r>
          <w:rPr>
            <w:color w:val="0000FF"/>
          </w:rPr>
          <w:t>приложению</w:t>
        </w:r>
      </w:hyperlink>
      <w:r>
        <w:t xml:space="preserve"> к настоящим Методическим рекомендациям.</w:t>
      </w:r>
    </w:p>
    <w:p w:rsidR="0047069A" w:rsidRDefault="0047069A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4. Критерий </w:t>
      </w:r>
      <w:r>
        <w:rPr>
          <w:b/>
        </w:rPr>
        <w:t>"экспортная ориентированность инновационного проекта (превышение экспорта над импортом)"</w:t>
      </w:r>
      <w:r>
        <w:t xml:space="preserve"> представляет собой превышение экспортной выручки над импортной составляющей проекта.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Значение критерия </w:t>
      </w:r>
      <w:r>
        <w:rPr>
          <w:b/>
        </w:rPr>
        <w:t>"экспортная ориентированность инновационного проекта (превышение экспорта над импортом)"</w:t>
      </w:r>
      <w:r>
        <w:t xml:space="preserve"> берется из </w:t>
      </w:r>
      <w:hyperlink r:id="rId20" w:history="1">
        <w:r>
          <w:rPr>
            <w:color w:val="0000FF"/>
          </w:rPr>
          <w:t>строки 1.3 таблицы 4-21</w:t>
        </w:r>
      </w:hyperlink>
      <w:r>
        <w:t xml:space="preserve"> "Расчет потока средств по экспортно-импортным операциям (валютоокупаемость проекта)" (используются данные столбца года, следующего за годом выхода на проектную мощность проекта) (см. приложение 4 к Правилам).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Проект признается экспортоориентированным при условии положительного сальдо потока денежных средств в свободно конвертируемой валюте от текущей (операционной) деятельности.</w:t>
      </w:r>
    </w:p>
    <w:p w:rsidR="0047069A" w:rsidRDefault="0047069A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5. Оценка соответствия инновационных проектов критерию </w:t>
      </w:r>
      <w:r>
        <w:rPr>
          <w:b/>
        </w:rPr>
        <w:t>"создание и внедрение новых технологий и (или) производство новой для Республики Беларусь и (или) мировой экономики продукции"</w:t>
      </w:r>
      <w:r>
        <w:t xml:space="preserve"> осуществляется в рамках ведомственной и государственной научно-технической экспертиз.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Проверка новизны технологий и (или) продукции проводится в отношении всей совокупности признаков соответствующих технологий и продукции, описание которых содержится в бизнес-планах.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Проверка новизны технологий и (или) продукции включает: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определение научно-технического уровня внедряемых технологий по сравнению с передовыми технологиями, используемыми в мире, и возможности их применения на соответствующем производстве;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определение наиболее близкого аналога используемой (выпускаемой) на территории Республики Беларусь и (или) в мире технологии и (или) продукции того же назначения;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выявление признаков, которыми технологии и (или) продукция отличаются от аналогов на территории Республики Беларусь и (или) в мире;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подтверждение обоснованности расходов по сравнению с аналогичными технологиями и (или) продукцией, применяемыми и (или) выпускаемой в Республики Беларусь и (или) в мире;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определение социальных, экономических и экологических последствий внедрения технологий и (или) выпуска продукции.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Научно-технический уровень внедряемых технологий может быть подтвержден наличием: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патентов на объекты права промышленной собственности, полученных в Республике Беларусь и за рубежом (решений патентных органов о выдаче патентов);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имущественных прав на секреты производства (ноу-хау), относящиеся к продукту и (или) к </w:t>
      </w:r>
      <w:r>
        <w:lastRenderedPageBreak/>
        <w:t>способу;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исключительных прав на программное обеспечение;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лицензионных договоров на предоставление права использования результатов интеллектуальной деятельности, договоров на передачу секретов производства (ноу-хау), относящихся к продукту и (или) к способу.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>6. Исключен.</w:t>
      </w:r>
    </w:p>
    <w:p w:rsidR="0047069A" w:rsidRDefault="0047069A">
      <w:pPr>
        <w:pStyle w:val="ConsPlusNormal"/>
        <w:jc w:val="both"/>
      </w:pPr>
      <w:r>
        <w:t xml:space="preserve">(п. 6 исключен.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Минэкономики, Госкомитета по науке и технологиям от 30.01.2019 N 2/31)</w:t>
      </w:r>
    </w:p>
    <w:p w:rsidR="0047069A" w:rsidRDefault="0047069A">
      <w:pPr>
        <w:pStyle w:val="ConsPlusNormal"/>
        <w:spacing w:before="220"/>
        <w:ind w:firstLine="540"/>
        <w:jc w:val="both"/>
      </w:pPr>
      <w:r>
        <w:t xml:space="preserve">7. Разъяснения вопросов по применению настоящих Методических рекомендаций даются в пределах своей компетенции Министерством экономики Республики Беларусь (по </w:t>
      </w:r>
      <w:hyperlink w:anchor="P38" w:history="1">
        <w:r>
          <w:rPr>
            <w:color w:val="0000FF"/>
          </w:rPr>
          <w:t>пунктам 1</w:t>
        </w:r>
      </w:hyperlink>
      <w:r>
        <w:t xml:space="preserve"> - </w:t>
      </w:r>
      <w:hyperlink w:anchor="P64" w:history="1">
        <w:r>
          <w:rPr>
            <w:color w:val="0000FF"/>
          </w:rPr>
          <w:t>4</w:t>
        </w:r>
      </w:hyperlink>
      <w:r>
        <w:t xml:space="preserve">) и Государственным комитетом по науке и технологиям Республики Беларусь (по </w:t>
      </w:r>
      <w:hyperlink w:anchor="P67" w:history="1">
        <w:r>
          <w:rPr>
            <w:color w:val="0000FF"/>
          </w:rPr>
          <w:t>пункту 5</w:t>
        </w:r>
      </w:hyperlink>
      <w:r>
        <w:t>).</w:t>
      </w:r>
    </w:p>
    <w:p w:rsidR="0047069A" w:rsidRDefault="0047069A">
      <w:pPr>
        <w:pStyle w:val="ConsPlusNormal"/>
        <w:ind w:firstLine="540"/>
        <w:jc w:val="both"/>
      </w:pPr>
      <w:r>
        <w:t>--------------------------------</w:t>
      </w:r>
    </w:p>
    <w:p w:rsidR="0047069A" w:rsidRDefault="0047069A">
      <w:pPr>
        <w:pStyle w:val="ConsPlusNormal"/>
        <w:jc w:val="both"/>
      </w:pPr>
      <w:r>
        <w:t xml:space="preserve">(сноска &lt;*&gt; исключена.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Минэкономики, Госкомитета по науке и технологиям от 30.01.2019 N 2/31)</w:t>
      </w: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right"/>
        <w:outlineLvl w:val="1"/>
      </w:pPr>
      <w:r>
        <w:t>Приложение</w:t>
      </w:r>
    </w:p>
    <w:p w:rsidR="0047069A" w:rsidRDefault="0047069A">
      <w:pPr>
        <w:pStyle w:val="ConsPlusNormal"/>
        <w:jc w:val="right"/>
      </w:pPr>
      <w:r>
        <w:t>к Методическим рекомендациям о</w:t>
      </w:r>
    </w:p>
    <w:p w:rsidR="0047069A" w:rsidRDefault="0047069A">
      <w:pPr>
        <w:pStyle w:val="ConsPlusNormal"/>
        <w:jc w:val="right"/>
      </w:pPr>
      <w:r>
        <w:t>порядке расчета и оценке соответствия</w:t>
      </w:r>
    </w:p>
    <w:p w:rsidR="0047069A" w:rsidRDefault="0047069A">
      <w:pPr>
        <w:pStyle w:val="ConsPlusNormal"/>
        <w:jc w:val="right"/>
      </w:pPr>
      <w:r>
        <w:t>критериям, установленным Указом</w:t>
      </w:r>
    </w:p>
    <w:p w:rsidR="0047069A" w:rsidRDefault="0047069A">
      <w:pPr>
        <w:pStyle w:val="ConsPlusNormal"/>
        <w:jc w:val="right"/>
      </w:pPr>
      <w:r>
        <w:t>Президента Республики Беларусь</w:t>
      </w:r>
    </w:p>
    <w:p w:rsidR="0047069A" w:rsidRDefault="0047069A">
      <w:pPr>
        <w:pStyle w:val="ConsPlusNormal"/>
        <w:jc w:val="right"/>
      </w:pPr>
      <w:r>
        <w:t>от 7 августа 2012 г. N 357</w:t>
      </w: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ind w:firstLine="540"/>
        <w:jc w:val="both"/>
        <w:outlineLvl w:val="2"/>
      </w:pPr>
      <w:bookmarkStart w:id="4" w:name="P97"/>
      <w:bookmarkEnd w:id="4"/>
      <w:r>
        <w:rPr>
          <w:b/>
        </w:rPr>
        <w:t>Таблица - Производительность труда EC-28 - валовая добавленная стоимость в расчете на одного занятого, евро на занятого (Value added, gross (current prices) / Total employment domestic concept) согласно классификатору NACE, Rev. 2 (Statistical Classification of Economic Activities in the European Community)</w:t>
      </w:r>
    </w:p>
    <w:p w:rsidR="0047069A" w:rsidRDefault="004706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6406"/>
        <w:gridCol w:w="1247"/>
      </w:tblGrid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2013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Total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54 073,2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A01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16 582,4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A02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Лесоводство и лесозаготовки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42 181,1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A03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Рыболовство и аквакультура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33 885,8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B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Горнодобывающая промышленность и разработка карьеров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135 925,8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C10 - C12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пищевых продуктов, напитков и табачных изделий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52 538,6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C13 - C15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текстиля, одежды, кожи и сопутствующих товаров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28 033,8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C16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30 825,1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lastRenderedPageBreak/>
              <w:t>C17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бумаги и бумажной продукции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68 794,6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C18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Печать и воспроизведение записанных материалов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44 311,7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C19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кокса и продуктов нефтепереработки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168 553,7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C20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продуктов химической промышленности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107 766,3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C21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основных фармацевтических продуктов и препаратов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180 348,3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C22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53 810,5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C23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49 206,4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C24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Металлургическая промышленность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59 837,6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C25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47 857,9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C26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компьютеров, электронной и оптической продукции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85 096,9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C27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электрического оборудования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62 238,7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C28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машин и оборудования, не включенных в другие категории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69 812,3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C29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автотранспортных средств, трейлеров и полуприцепов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77 209,5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C30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прочего транспортного оборудования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82 100,9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C31 - C32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мебели; производство прочих готовых изделий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39 696,6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C33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Ремонт и установка машин и оборудования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56 142,8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D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Электроснабжение, подача газа, пара и воздушное кондиционирование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191 762,9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E36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Сбор, обработка и распределение воды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76 378,6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E37 - E39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Канализационная система; сбор, обработка и удаление отходов; утилизация отходов; рекультивация и прочие услуги в области удаления отходов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69 729,8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F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Строительство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45 125,1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G45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Оптовая и розничная торговля автомобилями и мотоциклами и их ремонт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46 207,4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G46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Оптовая торговля, за исключением автомобилей и мотоциклов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61 996,1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G47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Розничная торговля, за исключением автомобилей и мотоциклов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28 009,1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H49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Сухопутный транспорт и транспортирование по трубопроводам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45 076,7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H50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Водный транспорт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143 217,5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lastRenderedPageBreak/>
              <w:t>H51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97 210,0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H52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Складское хозяйство и вспомогательная транспортная деятельность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77 229,4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H53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Почтовая и курьерская деятельность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30 911,8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I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Услуги по проживанию и питанию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31 810,2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J58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Издательская деятельность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77 705,0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J59 - J60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Производство кино-, видеофильмов, и телевизионных программ, фонограмм и музыкальных записей; деятельность по созданию программ и телерадиовещание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91 243,7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J61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Телекоммуникации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157 997,3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J62 - J63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в области компьютерного программирования, консультативные и информационные услуги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78 015,6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K64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Финансовые услуги, за исключением услуг страховых и пенсионных фондов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121 268,3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K65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Страхование, перестрахование и деятельность пенсионных фондов, кроме обязательного социального страхования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137 114,1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K66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Вспомогательная деятельность по предоставлению финансовых услуг и страхования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60 192,8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L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Операции с недвижимым имуществом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557 794,6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M69 - M70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в области права и бухгалтерского учета; деятельность головных компаний; консультации по вопросам управления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60 876,4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M71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в области архитектуры, инженерных изысканий, технических испытаний и анализа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55 206,6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M72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76 922,1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M73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Рекламная деятельность и изучение рыночной конъюнктуры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49 044,1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M74 - M75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Прочая профессиональная, научная и техническая деятельность; ветеринарная деятельность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42 370,5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N 77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Аренда, прокат, лизинг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192 235,4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N 78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Трудоустройство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28 979,7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N 79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туроператоров, турагентов и прочих организаций, предоставляющих услуги в сфере туризма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58 584,6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N80 - N82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по обеспечению безопасности и расследованиям; деятельность в области обслуживания зданий и территорий; деятельность в области административно-управленческого, хозяйственного и прочего вспомогательного обслуживания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26 849,5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lastRenderedPageBreak/>
              <w:t>O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Государственное управление и оборона; обязательное социальное обеспечение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54 966,7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P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Образование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42 550,1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Q86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в области здравоохранения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46 788,7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Q87 - Q88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Предоставление ухода с обеспечением проживания; предоставление социальных услуг без обеспечения проживания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27 434,5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R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Искусство, развлечения и отдых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42 940,2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R90 - R92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в области творчества, искусства и развлечений; деятельность библиотек, архивов, музеев и других учреждений культурного обслуживания; деятельность по организации азартных игр и заключения пари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50 339,1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R93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в области спорта, организации отдыха и развлечений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33 546,0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S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Предоставление прочих видов услуг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35 270,4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S94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членских организаций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38 213,3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S95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Ремонт компьютеров, предметов личного потребления и бытовых товаров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34 881,2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S96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Предоставление прочих индивидуальных услуг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33 392,4</w:t>
            </w:r>
          </w:p>
        </w:tc>
      </w:tr>
      <w:tr w:rsidR="0047069A">
        <w:tc>
          <w:tcPr>
            <w:tcW w:w="1417" w:type="dxa"/>
          </w:tcPr>
          <w:p w:rsidR="0047069A" w:rsidRDefault="0047069A">
            <w:pPr>
              <w:pStyle w:val="ConsPlusNormal"/>
            </w:pPr>
            <w:r>
              <w:t>T</w:t>
            </w:r>
          </w:p>
        </w:tc>
        <w:tc>
          <w:tcPr>
            <w:tcW w:w="6406" w:type="dxa"/>
          </w:tcPr>
          <w:p w:rsidR="0047069A" w:rsidRDefault="0047069A">
            <w:pPr>
              <w:pStyle w:val="ConsPlusNormal"/>
            </w:pPr>
            <w: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247" w:type="dxa"/>
          </w:tcPr>
          <w:p w:rsidR="0047069A" w:rsidRDefault="0047069A">
            <w:pPr>
              <w:pStyle w:val="ConsPlusNormal"/>
              <w:jc w:val="center"/>
            </w:pPr>
            <w:r>
              <w:t>14 129,1</w:t>
            </w:r>
          </w:p>
        </w:tc>
      </w:tr>
    </w:tbl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jc w:val="both"/>
      </w:pPr>
    </w:p>
    <w:p w:rsidR="0047069A" w:rsidRDefault="004706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2D6" w:rsidRDefault="00FC32D6">
      <w:bookmarkStart w:id="5" w:name="_GoBack"/>
      <w:bookmarkEnd w:id="5"/>
    </w:p>
    <w:sectPr w:rsidR="00FC32D6" w:rsidSect="00D1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9A"/>
    <w:rsid w:val="0047069A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D03B8-4453-4A97-BCD4-4D3B5BBE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06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0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3FFA4D516C2268A2D35CA9705320F64AC0E9FE05A6EAB1430951C87470973EE15C5E2FF6BEC09B97137CFB20D631E8100299DAD37A44C5EDA1F4434LCa8L" TargetMode="External"/><Relationship Id="rId13" Type="http://schemas.openxmlformats.org/officeDocument/2006/relationships/hyperlink" Target="consultantplus://offline/ref=3323FFA4D516C2268A2D35CA9705320F64AC0E9FE05A6EA91036961C87470973EE15C5E2FF79EC51B57037D0B4097648D046L7aFL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23FFA4D516C2268A2D35CA9705320F64AC0E9FE05A6DAF1833971C87470973EE15C5E2FF6BEC09B97137CEB40C631E8100299DAD37A44C5EDA1F4434LCa8L" TargetMode="External"/><Relationship Id="rId7" Type="http://schemas.openxmlformats.org/officeDocument/2006/relationships/hyperlink" Target="consultantplus://offline/ref=3323FFA4D516C2268A2D35CA9705320F64AC0E9FE05A6FA11631931C87470973EE15C5E2FF6BEC09B97137CEBC0E631E8100299DAD37A44C5EDA1F4434LCa8L" TargetMode="External"/><Relationship Id="rId12" Type="http://schemas.openxmlformats.org/officeDocument/2006/relationships/hyperlink" Target="consultantplus://offline/ref=3323FFA4D516C2268A2D35CA9705320F64AC0E9FE05A6EA91036961C87470973EE15C5E2FF6BEC09B97137CCB000631E8100299DAD37A44C5EDA1F4434LCa8L" TargetMode="External"/><Relationship Id="rId17" Type="http://schemas.openxmlformats.org/officeDocument/2006/relationships/hyperlink" Target="consultantplus://offline/ref=3323FFA4D516C2268A2D35CA9705320F64AC0E9FE05A6FA1163E901C87470973EE15C5E2FF6BEC09B97135C6B70B631E8100299DAD37A44C5EDA1F4434LCa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23FFA4D516C2268A2D35CA9705320F64AC0E9FE05A6FA1163E901C87470973EE15C5E2FF6BEC09B97135CAB000631E8100299DAD37A44C5EDA1F4434LCa8L" TargetMode="External"/><Relationship Id="rId20" Type="http://schemas.openxmlformats.org/officeDocument/2006/relationships/hyperlink" Target="consultantplus://offline/ref=3323FFA4D516C2268A2D35CA9705320F64AC0E9FE05A6FA1163E901C87470973EE15C5E2FF6BEC09B97136C6B700631E8100299DAD37A44C5EDA1F4434LCa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23FFA4D516C2268A2D35CA9705320F64AC0E9FE05A6CA11831921C87470973EE15C5E2FF6BEC09B97137CEB40D631E8100299DAD37A44C5EDA1F4434LCa8L" TargetMode="External"/><Relationship Id="rId11" Type="http://schemas.openxmlformats.org/officeDocument/2006/relationships/hyperlink" Target="consultantplus://offline/ref=3323FFA4D516C2268A2D35CA9705320F64AC0E9FE05A6DAF1833971C87470973EE15C5E2FF6BEC09B97137CEB40C631E8100299DAD37A44C5EDA1F4434LCa8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323FFA4D516C2268A2D35CA9705320F64AC0E9FE05A6DAF1833971C87470973EE15C5E2FF6BEC09B97137CEB40C631E8100299DAD37A44C5EDA1F4434LCa8L" TargetMode="Externa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23FFA4D516C2268A2D35CA9705320F64AC0E9FE05A6EA91036961C87470973EE15C5E2FF6BEC09B97137CCB000631E8100299DAD37A44C5EDA1F4434LCa8L" TargetMode="External"/><Relationship Id="rId19" Type="http://schemas.openxmlformats.org/officeDocument/2006/relationships/hyperlink" Target="consultantplus://offline/ref=3323FFA4D516C2268A2D35CA9705320F64AC0E9FE05A6FA1163E901C87470973EE15C5E2FF6BEC09B97135CAB000631E8100299DAD37A44C5EDA1F4434LCa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323FFA4D516C2268A2D35CA9705320F64AC0E9FE05A6CA11831921C87470973EE15C5E2FF6BEC09B97137CEB40D631E8100299DAD37A44C5EDA1F4434LCa8L" TargetMode="External"/><Relationship Id="rId14" Type="http://schemas.openxmlformats.org/officeDocument/2006/relationships/hyperlink" Target="consultantplus://offline/ref=3323FFA4D516C2268A2D35CA9705320F64AC0E9FE05A6FA1163E901C87470973EE15C5E2FF6BEC09B97137CEB401631E8100299DAD37A44C5EDA1F4434LCa8L" TargetMode="External"/><Relationship Id="rId22" Type="http://schemas.openxmlformats.org/officeDocument/2006/relationships/hyperlink" Target="consultantplus://offline/ref=3323FFA4D516C2268A2D35CA9705320F64AC0E9FE05A6DAF1833971C87470973EE15C5E2FF6BEC09B97137CEB40C631E8100299DAD37A44C5EDA1F4434LC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3033</Words>
  <Characters>17291</Characters>
  <Application>Microsoft Office Word</Application>
  <DocSecurity>0</DocSecurity>
  <Lines>144</Lines>
  <Paragraphs>40</Paragraphs>
  <ScaleCrop>false</ScaleCrop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Слабухо Валентина</dc:creator>
  <cp:keywords/>
  <dc:description/>
  <cp:lastModifiedBy>Слабухо Валентина</cp:lastModifiedBy>
  <cp:revision>1</cp:revision>
  <dcterms:created xsi:type="dcterms:W3CDTF">2023-01-10T11:26:00Z</dcterms:created>
  <dcterms:modified xsi:type="dcterms:W3CDTF">2023-01-10T11:26:00Z</dcterms:modified>
</cp:coreProperties>
</file>