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9D" w:rsidRPr="00BA6945" w:rsidRDefault="00A21783" w:rsidP="00BA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68F7" w:rsidRPr="00BA6945" w:rsidRDefault="00D82C9D" w:rsidP="00BA69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45">
        <w:rPr>
          <w:rFonts w:ascii="Times New Roman" w:hAnsi="Times New Roman" w:cs="Times New Roman"/>
          <w:b/>
          <w:sz w:val="26"/>
          <w:szCs w:val="26"/>
        </w:rPr>
        <w:t>вопросов и ответов</w:t>
      </w:r>
      <w:r w:rsidR="00EC68F7" w:rsidRPr="00BA69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4EEB" w:rsidRPr="00BA6945" w:rsidRDefault="003206CA" w:rsidP="00BA69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945">
        <w:rPr>
          <w:rFonts w:ascii="Times New Roman" w:hAnsi="Times New Roman" w:cs="Times New Roman"/>
        </w:rPr>
        <w:t xml:space="preserve">к семинару </w:t>
      </w:r>
      <w:r w:rsidR="00A21783" w:rsidRPr="00BA6945">
        <w:rPr>
          <w:rFonts w:ascii="Times New Roman" w:hAnsi="Times New Roman" w:cs="Times New Roman"/>
        </w:rPr>
        <w:t>по коммерциализации результатов</w:t>
      </w:r>
    </w:p>
    <w:p w:rsidR="00A94EEB" w:rsidRPr="00BA6945" w:rsidRDefault="00A21783" w:rsidP="00BA69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945">
        <w:rPr>
          <w:rFonts w:ascii="Times New Roman" w:hAnsi="Times New Roman" w:cs="Times New Roman"/>
        </w:rPr>
        <w:t>научной и научно-технической деятельности</w:t>
      </w:r>
    </w:p>
    <w:p w:rsidR="00A21783" w:rsidRPr="00BA6945" w:rsidRDefault="00A21783" w:rsidP="00BA69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945">
        <w:rPr>
          <w:rFonts w:ascii="Times New Roman" w:hAnsi="Times New Roman" w:cs="Times New Roman"/>
        </w:rPr>
        <w:t xml:space="preserve">(21 июля 2021 г., </w:t>
      </w:r>
      <w:proofErr w:type="spellStart"/>
      <w:r w:rsidRPr="00BA6945">
        <w:rPr>
          <w:rFonts w:ascii="Times New Roman" w:hAnsi="Times New Roman" w:cs="Times New Roman"/>
        </w:rPr>
        <w:t>г.Минск</w:t>
      </w:r>
      <w:proofErr w:type="spellEnd"/>
      <w:r w:rsidRPr="00BA6945">
        <w:rPr>
          <w:rFonts w:ascii="Times New Roman" w:hAnsi="Times New Roman" w:cs="Times New Roman"/>
        </w:rPr>
        <w:t>)</w:t>
      </w: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662"/>
        <w:gridCol w:w="8079"/>
      </w:tblGrid>
      <w:tr w:rsidR="00044C85" w:rsidRPr="00BA6945" w:rsidTr="00427DC4">
        <w:trPr>
          <w:trHeight w:val="391"/>
          <w:tblHeader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8D1EA9" w:rsidRPr="00BA6945" w:rsidRDefault="008D1EA9" w:rsidP="00BA6945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D1EA9" w:rsidRPr="00BA6945" w:rsidRDefault="008D1EA9" w:rsidP="00BA6945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1EA9" w:rsidRPr="00BA6945" w:rsidRDefault="008D1EA9" w:rsidP="00BA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D1EA9" w:rsidRPr="00BA6945" w:rsidRDefault="008D1EA9" w:rsidP="00BA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</w:t>
            </w:r>
          </w:p>
        </w:tc>
      </w:tr>
      <w:tr w:rsidR="00044C85" w:rsidRPr="00BA6945" w:rsidTr="00427DC4">
        <w:trPr>
          <w:trHeight w:val="68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465663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существл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яется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 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коммерциализаци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научно-исследовательских работ </w:t>
            </w:r>
            <w:r w:rsidR="008D1EA9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НИР)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выполняемых для собственных нужд республиканских органов государственного управления </w:t>
            </w:r>
            <w:r w:rsidR="008D1EA9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(далее </w:t>
            </w:r>
            <w:r w:rsidR="00BA6945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–</w:t>
            </w:r>
            <w:r w:rsidR="008D1EA9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РОГУ)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счет бюджетных средств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Ответ Лосева С.С.: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силу нормы подп</w:t>
            </w:r>
            <w:r w:rsidR="0063546B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ункта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1.1 Указа-59 не подлежат обязательной коммерциализации результаты прикладных научных исследований, направленные на использование для собственных нужд, только в том случае,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если они являются объектами авторского права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4C85" w:rsidRPr="00BA6945" w:rsidTr="00427DC4">
        <w:trPr>
          <w:trHeight w:val="72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какие сроки правообладателю необходимо проводить постановку нематериальных активов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Н</w:t>
            </w:r>
            <w:r w:rsidR="00D6522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М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А)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бухгалтерский учет и снятие (списание) с учета? 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Принимать на учет полученные результаты работ нужно по дате подписания акта сдачи-приемки выполненных работ.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Снимать с учета нужно по дате, отражающей срок окончания действия права. Эта дата определяется на основании срока полезного использования объекта по акту приема-передачи НА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4C85" w:rsidRPr="00BA6945" w:rsidTr="00427DC4">
        <w:trPr>
          <w:trHeight w:val="83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2F6D4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Каковы и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сточники финансирования коммерциализации результатов научной деятельности </w:t>
            </w:r>
            <w:r w:rsidR="008D1EA9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РНД)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(объем средств)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Поскольку Государственными программами средства на проведение мероприятий по коммерциализации не предусмотрены, то источниками являются собственные средства организаций.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</w:rPr>
              <w:t>Таких источников в бюджете нет. За счет собственных средств.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Издержки, связанные с осуществлением коммерциализации во исполнение норм Указа-59 по умолчанию ложатся на лицо, осуществляющее коммерциализацию.</w:t>
            </w:r>
          </w:p>
        </w:tc>
      </w:tr>
      <w:tr w:rsidR="00044C85" w:rsidRPr="00BA6945" w:rsidTr="00427DC4">
        <w:trPr>
          <w:trHeight w:val="54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2F6D4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Приведите 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римеры коммерциализации РНД заданий Государственных программ научных исследований </w:t>
            </w:r>
            <w:r w:rsidR="008D1EA9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ГПНИ)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(кроме </w:t>
            </w:r>
            <w:r w:rsidR="00200A1A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собственных нужд</w:t>
            </w:r>
            <w:r w:rsidR="00200A1A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задания ГПНИ были разработаны две технологии, на которые впоследствии получены патенты на изобретения. Заключено 2 л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ицензионных договора с ОАО «Нова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Друть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</w:tc>
      </w:tr>
      <w:tr w:rsidR="00044C85" w:rsidRPr="00BA6945" w:rsidTr="00427DC4">
        <w:trPr>
          <w:trHeight w:val="837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2F6D4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Обязательна ли к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оммерциализация РНД по гуманитарным и общественным наукам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Приведите 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римеры (кроме </w:t>
            </w:r>
            <w:r w:rsidR="00200A1A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собственных нужд</w:t>
            </w:r>
            <w:r w:rsidR="00200A1A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Такие результаты, являющиеся объектами авторского права и направленные на достижение только социального эффекта, в силу нормы подп</w:t>
            </w:r>
            <w:r w:rsidR="0063546B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ункта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 Указа-59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</w:t>
            </w:r>
            <w:r w:rsidR="0063546B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подлежат обязательной коммерциализации.</w:t>
            </w:r>
          </w:p>
        </w:tc>
      </w:tr>
      <w:tr w:rsidR="00044C85" w:rsidRPr="00BA6945" w:rsidTr="00427DC4">
        <w:trPr>
          <w:trHeight w:val="4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2F6D4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Существуют ли 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референции предприятиям и организациям, которые используют РНД в своей деятельности?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</w:rPr>
              <w:t>В Налоговом кодексе предусмотрены льготы: 1) по инновационным товарам; 2) патентным пошлинам на изобретения; 3) освобождение лицензионных платежей от НДС и др.</w:t>
            </w:r>
          </w:p>
        </w:tc>
      </w:tr>
      <w:tr w:rsidR="00044C85" w:rsidRPr="00BA6945" w:rsidTr="00427DC4">
        <w:trPr>
          <w:trHeight w:val="722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2F6D4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Каковы и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нструменты продвижения РНД на рынке научно-технической продукции, кроме классических?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Имеются ли и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стории успеха?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презентации много таких примеров.</w:t>
            </w:r>
          </w:p>
        </w:tc>
      </w:tr>
      <w:tr w:rsidR="00044C85" w:rsidRPr="00BA6945" w:rsidTr="00427DC4">
        <w:trPr>
          <w:trHeight w:val="488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Какой документ может являться свидетельством того, что интеллектуальная собственность (научный отчет, конструкторская документация, технологическая документация, патент, программное обеспечение и т.д.), созданная организацией за счет или с использованием бюджетных средств, принадлежит организации (является ее Н</w:t>
            </w:r>
            <w:r w:rsidR="00D652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Если говорить о </w:t>
            </w:r>
            <w:r w:rsidR="00D652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НМА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то это – акт приема-передачи объекта Н</w:t>
            </w:r>
            <w:r w:rsidR="004E39A4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Принадлежность организации исключительного права на объекты промышленной собственности определяется принадлежностью этой организации патента (свидетельства – в отношении топологии ИМС); принадлежность исключительного авторского права определяется  сложным юридическим составом, включающим факт создания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служебного произведения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автором и наличием у организации с данным автором трудовых отношений, либо заключением договора уступки исключительного авторского права с предшествующим правообладателем.  </w:t>
            </w:r>
          </w:p>
        </w:tc>
      </w:tr>
      <w:tr w:rsidR="00044C85" w:rsidRPr="00BA6945" w:rsidTr="00427DC4">
        <w:trPr>
          <w:trHeight w:val="557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Министерство является обладателем прав на результаты НТД, полученные при выполнении заданий Государственных научно-технических программ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ГНТП)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2008 и 2009 годах. Выпуск продукции обеспечен в установленных объемах и в установленные сроки в 2009-2011 годах. Начиная с 2012 года, выпуск продукции по данным заданиям для белорусской энергосистемы не осуществлялся.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Может ли Министерство, в связи с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невостребованностью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данного оборудования в белорусской энергосистеме, снять с бухгалтерского учета (списать)  имущественные права на результаты НТД по данным заданиям или должно предложить их разработчикам, которым в 2008 и 2009 годах были переданы по договорам права на использование указанных результатов?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392CB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ожно снять с учета как неиспользуемые объекты, отразив при этом их остаточную стоимость в общем порядке как расходы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инвестиционной деятельности.</w:t>
            </w:r>
          </w:p>
          <w:p w:rsidR="008D1EA9" w:rsidRPr="00BA6945" w:rsidRDefault="00392CB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ожно продать, заключив договор уступки или другой договор в зависимости от вида объекта.</w:t>
            </w:r>
          </w:p>
        </w:tc>
      </w:tr>
      <w:tr w:rsidR="00044C85" w:rsidRPr="00BA6945" w:rsidTr="00427DC4">
        <w:trPr>
          <w:trHeight w:val="49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Позволяет ли законодательство </w:t>
            </w:r>
            <w:r w:rsidR="002F6D4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Беларуси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внести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неденежный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вклад в уставный фонд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(далее – УФ)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совместного предприятия, создаваемого с участием нерезидентов Республики Беларусь, в виде имущественных прав на результаты НТД, которые созданы с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привлечением бюджетных средств или принадлежат бюджетной организации?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lastRenderedPageBreak/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Законодательство не устанавливает специальных правил для формирования 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УФ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совместного предприятия.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Согласно ст.29 Закона Республики Беларусь «О хозяйственных обществах» объем имущественных прав, вносимых в качестве вклада в 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УФ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хозяйственного общества, не может быть более пятидесяти процентов </w:t>
            </w:r>
            <w:r w:rsidR="009C73C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УФ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хозяйственного общества.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Конкретный ответ на вопрос зависит от того, кто является обладателем имущественных прав на указанные результаты НТД.</w:t>
            </w:r>
          </w:p>
        </w:tc>
      </w:tr>
      <w:tr w:rsidR="00044C85" w:rsidRPr="00BA6945" w:rsidTr="00427DC4">
        <w:trPr>
          <w:trHeight w:val="50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коммерциализировать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результаты научных (фундаментальных) исследований?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</w:t>
            </w:r>
            <w:r w:rsidR="00965133"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, Нечепуренко Ю.В., Лосева С.С.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Можно не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коммерциализировать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Но если есть результаты, которые могут быть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коммерциализированы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то с применением любого из способов.</w:t>
            </w:r>
          </w:p>
        </w:tc>
      </w:tr>
      <w:tr w:rsidR="00044C85" w:rsidRPr="00BA6945" w:rsidTr="00427DC4">
        <w:trPr>
          <w:trHeight w:val="1942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392CB0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Может ли обладатель имущественных прав на результат НТД предоставить право на использование результата НТД организации-изготовителю с условием коммерциализации, но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возмездно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 И если можно, то подлежат ли полученные денежные средства перечислению в доходы соответствующих бюджетов согласно п.21 Указа Президента Республики Беларусь от 18.06.2018 № 240</w:t>
            </w:r>
            <w:r w:rsidR="00FD24ED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D24ED"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Указ-240)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Может. При этом может как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если он определен обладателем имущественных прав, так и исполнитель, если права принадлежат ему.  Поскольку возмездное предоставление права использования результата НТД само по себе является формой коммерциализации (п.7 Положения о коммерциализации).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Ограничения касаются распоряжения имущественными правами на результаты НТД, связанные с интересами национальной безопасности (п.17 Положения о коммерциализации).</w:t>
            </w:r>
          </w:p>
        </w:tc>
      </w:tr>
      <w:tr w:rsidR="00044C85" w:rsidRPr="00BA6945" w:rsidTr="00427DC4">
        <w:trPr>
          <w:trHeight w:val="54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рассчитывать коэффициент эффективности задания (мероприятия), выполняемого в рамках Государственных программ, если коммерциализация полученного результата НТД осуществляется способом использования для собственных нужд?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методические рекомендации, которые в части применяемых методик делают отсылку к методике составления бизнес-планов.</w:t>
            </w:r>
          </w:p>
        </w:tc>
      </w:tr>
      <w:tr w:rsidR="00044C85" w:rsidRPr="00BA6945" w:rsidTr="00427DC4">
        <w:trPr>
          <w:trHeight w:val="49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61064C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Может ли з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аключаемый договор между предоставляющей право стороной и принимающей право стороной быть оформлен в соответствии с примерной формой Договора о предоставлении права использования результата научной и НТД</w:t>
            </w:r>
            <w:r w:rsidR="00812D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риложению 2 </w:t>
            </w:r>
            <w:r w:rsidR="00812D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остановлени</w:t>
            </w:r>
            <w:r w:rsidR="00812D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ГКНТ от 03.09.2018 №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 где стороны именуются Лицензиар и Лицензиат, при этом результат НТД − это разработанная научно-техническая документация (регламенты, протоколы, инструкции, ТУ), не являющаяся ноу-хау? И тот же вопрос, но научно-технической документации присвоен статус ноу-хау?</w:t>
            </w:r>
          </w:p>
        </w:tc>
        <w:tc>
          <w:tcPr>
            <w:tcW w:w="8079" w:type="dxa"/>
            <w:shd w:val="clear" w:color="auto" w:fill="auto"/>
          </w:tcPr>
          <w:p w:rsidR="00392CB0" w:rsidRPr="00BA6945" w:rsidRDefault="00392CB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392CB0" w:rsidRPr="00BA6945" w:rsidRDefault="00392CB0" w:rsidP="00BA69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 документированной научно-технической информации относится норма части четвертой п.15 Положения о коммерциализации, согласно которой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передача имущественных прав на результаты НТД, не являющиеся объектами интеллектуальной собственности, может быть полной или частичной с учетом требований настоящего Положения.</w:t>
            </w:r>
          </w:p>
          <w:p w:rsidR="008D1EA9" w:rsidRPr="00BA6945" w:rsidRDefault="00392CB0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распоряжение документированной научно-технической информацией ориентирована примерная форма договора о передаче имущественных прав на результаты НТД (приложение 1 к указанному постановлению ГКНТ).</w:t>
            </w:r>
          </w:p>
        </w:tc>
      </w:tr>
      <w:tr w:rsidR="00044C85" w:rsidRPr="00BA6945" w:rsidTr="00427DC4">
        <w:trPr>
          <w:trHeight w:val="636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учетом того, что коммерциализацию научных разработок и технологий однозначно связывают с представлением об инновационном процессе, инновационной деятельностью, в ходе которой научный результат или технологическая разработка реализуются с получением коммерческого эффекта,  на семинаре необходимо более детально рассмотреть вопрос по связи процесса коммерциализации  с промежуточными результатами и рынком, потому что деньги можно получить только от рынка и реализовать научный результат или технологию можно только в том случае, если она способна усилить чье-то конкурентное преимущество, убедить конечного покупателя в единственности правильного выбора и тем самым принести или увеличить прибыль продавцу нового товара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Вопрос глобального характера. Личное мнение: необходимо радикально менять всю систему коммерциализации результатов НТД и уходить от жесткого административного регулирования, в том числе отменять Указ-59, заменяя его договорным регулированием отношений между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госзаказчиком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исполнителем.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пунктом 8 Положения о коммерциализации результатов научной и НТД, созданных за счет государственных средств, утвержденного Указом-59, обладатели имущественных прав на результаты НТД вправе с учетом требований настоящего Положения использовать для их коммерциализации любой из определенных настоящим Положением способов коммерциализации или одновременно несколько способов, если иное не установлено государственным заказчиком.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Возможно ли безвозмездно передать имущественные права субъекту для последующей коммерциализации и одновременно использовать результат НТД для собственных нужд, сохранив за собой такое право?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таком случае заключается два договора или один, что в них должно содержаться и в какой последовательности их заключать?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Право использования для собственных нужд предоставляет нам обладатель, которому мы отдали имущественные права для последующей коммерциализации, либо мы сами себе </w:t>
            </w:r>
            <w:r w:rsidR="0061064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предоставляем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данное право?</w:t>
            </w:r>
          </w:p>
        </w:tc>
        <w:tc>
          <w:tcPr>
            <w:tcW w:w="8079" w:type="dxa"/>
            <w:shd w:val="clear" w:color="auto" w:fill="auto"/>
          </w:tcPr>
          <w:p w:rsidR="005A75F8" w:rsidRPr="00BA6945" w:rsidRDefault="005A75F8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5A75F8" w:rsidRPr="00BA6945" w:rsidRDefault="005A75F8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Согласно п.8 Положения о коммерциализации, утвержденного Указом-59, «…обладатели имущественных прав на результаты НТД вправе… использовать для их коммерциализации любой из определенных настоящим Положением способов коммерциализации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или одновременно несколько способов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если иное не установлено государственным заказчиком». </w:t>
            </w:r>
          </w:p>
          <w:p w:rsidR="005A75F8" w:rsidRPr="00BA6945" w:rsidRDefault="005A75F8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Проблема может состоять в том, что в контексте Указа-59 «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передача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имущественных прав на результаты НТД» соответствует понятию «договор уступки исключительного права» и предполагает отчуждение этого права третьему лицу, что по умолчанию исключает возможность для предшествующего правообладателя использовать такой результат для собственных нужд; для получения возможности использования объекта, исключительное право на который уступлено третьему лицу, предыдущему правообладателю необходимо заключение лицензионного договора с новым правообладателем. </w:t>
            </w:r>
          </w:p>
          <w:p w:rsidR="008D1EA9" w:rsidRPr="00BA6945" w:rsidRDefault="005A75F8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Сохранение возможности использования результата НТД для собственных нужд возможно в том случае, если речь идет не о передаче прав, а о предоставлении права использования результата НТД, что соответствует заключению лицензионного договора и позволяет оговорить возможность сохранения лицензиаром права использования лицензируемого объекта для собственных нужд.</w:t>
            </w:r>
          </w:p>
        </w:tc>
      </w:tr>
      <w:tr w:rsidR="00044C85" w:rsidRPr="00BA6945" w:rsidTr="00427DC4">
        <w:trPr>
          <w:trHeight w:val="409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Материальный объект п</w:t>
            </w:r>
            <w:r w:rsidR="0061064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редается одновременно с имущественными правами, можем ли мы оставить для </w:t>
            </w:r>
            <w:r w:rsidR="0061064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использования и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собственных нужд не только имущественные права, но и материальный объект?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Смысл указанной нормы понятен: на материальный объект распространяется правовой режим результата НТД, который в нем выражен и который с ним неразрывно связан. Иными словами, материальный объект следует юридической судьбе результата НТД, если результат НТД может быть передан безвозмездно, это правило применяется и в отношении материального объекта; если для передачи прав на результат НТД третьему лицу требуется разрешение, такое разрешение требуется и для передачи материального объекта и т.д.</w:t>
            </w:r>
          </w:p>
        </w:tc>
      </w:tr>
      <w:tr w:rsidR="00044C85" w:rsidRPr="00BA6945" w:rsidTr="00427DC4">
        <w:trPr>
          <w:trHeight w:val="409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Если мы создали имущественное право, то можем ли мы </w:t>
            </w:r>
            <w:r w:rsidR="0061064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бухгалтерском учете разделить это имущественное право на части. Например, информационная система состоит из трех элементов, функционирующих самостоятельно и раздельно друг от друга. Можем ли мы их разделить на три для коммерциализации тремя субъектами? Как их передать в таком случае?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 объекта – три отдельных комплекса прав. Тогда в бухучете три объекта учета. Передаются отдельными договорами.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Ставить на учет получатель будет в общем порядке </w:t>
            </w:r>
            <w:r w:rsidR="000A6236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2D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нструкци</w:t>
            </w:r>
            <w:r w:rsidR="000A6236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утвержденной постановлением Министерства финансов Республики Беларусь от 30.04.2012 № 25 </w:t>
            </w:r>
            <w:r w:rsidR="000A6236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некоторых вопросах бухгалтерского учета</w:t>
            </w:r>
            <w:r w:rsidR="000A6236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959A3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зависимости от того, как передают: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возмездно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безвозмездно. </w:t>
            </w:r>
          </w:p>
        </w:tc>
      </w:tr>
      <w:tr w:rsidR="00044C85" w:rsidRPr="00BA6945" w:rsidTr="00427DC4">
        <w:trPr>
          <w:trHeight w:val="409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Постановлением Министерства финансов Республики Беларусь от 30.04.2012 № 25 «О некоторых вопросах бухгалтерского учета»</w:t>
            </w:r>
            <w:r w:rsidR="00BB30E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предусмотрен порядок постановки на учет имущественных прав для двух субъектов – заказчика и исполнителя. Указом-59 предусмотрена возможность совместного обладания имущественными правами заказчика, исполнителя и лица, которое затратило свои средства на создание результата НТД.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Может ли заказчик определить своим решением в качестве обладателя имущественных прав иное лицо, которое не являлось исполнителем работ. Если да, то как данное лицо должно ставить </w:t>
            </w:r>
            <w:r w:rsidR="00D652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НМА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бухгалтерский учет?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Договором на НИОКР предусмотрено создание материального объекта. В результате выполнения работ создан материальный объект, а имущественные права списаны на затраты.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Может ли стоимость созданного объекта равняться стоимости договора на его создани</w:t>
            </w:r>
            <w:r w:rsidR="00777A3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а стоимость имущественных прав равняться нулю? 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Можно. Тогда материальный объект – исключительно объект основных средств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ОС)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материалы для дальнейшего использования или продукция, предназначенная к реализации.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этом случае стоимость объекта ОС будет определяться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основании суммы финансирования, но стоимость прав, действительно, равна нулю.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 п.10 Положения о коммерциализации в данном случае не допускает иного варианта кроме совместного обладания имущественными правами. Третье лицо может стать правообладателем в порядке коммерциализации созданных результатов НТД.</w:t>
            </w:r>
          </w:p>
        </w:tc>
      </w:tr>
      <w:tr w:rsidR="00044C85" w:rsidRPr="00BA6945" w:rsidTr="00427DC4">
        <w:trPr>
          <w:trHeight w:val="409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Правомерно ли суждение о том, что конструкторская документация, не выполняющая самостоятельных функций от аппаратно-программного комплекса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АПК)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неотделимая от него, не признается отдельным инвентарным объектом НА и не может быть списана на затраты</w:t>
            </w:r>
            <w:r w:rsidR="00777A3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Следовательно, стоимость опытно-конструкторской документации подлежит включению в первоначальную стоимость АПК как затраты, связанные с приведением ОС в состояние, пригодное для использования</w:t>
            </w:r>
            <w:r w:rsidR="00777A3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Боровской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Е.А.: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Да, правильно. В таком случае, как сказано, действительно, стоимость разработки документации входит в стоимость комплекса.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777A3C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Проводится ли к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оммерциализация результатов инвентаризации водных объектов Беларуси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</w:rPr>
              <w:t>Надо смотреть договор (задание): для каких целей выполнена инвентаризация.</w:t>
            </w:r>
          </w:p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данные результаты инвентаризации были созданы с использованием государственных средств и могут быть определены как результаты НТД в контексте Указа-59 (объекты интеллектуальной собственности или документированная научно-техническая информация), они будут подлежать обязательной коммерциализации.</w:t>
            </w:r>
          </w:p>
        </w:tc>
      </w:tr>
      <w:tr w:rsidR="00044C85" w:rsidRPr="00BA6945" w:rsidTr="00427DC4">
        <w:trPr>
          <w:trHeight w:val="47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Какие документы подтверждают коммерциализацию НИОКР?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Речь должна идти не о коммерциализации НИОКТР, а о коммерциализации результатов НТД, созданных при выполнении НИОКТР.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тексте Указа-59 нет норм, определяющих порядок подтверждения факта коммерциализации результатов НТД.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Подтверждение факта коммерциализации очевидно зависит от избранного способа коммерциализации; если речь идет о распоряжении имущественными правами или документированной научно-технической информацией, такими документами выступают соответствующие договоры; если речь идет об использовании для производства продукции, таковыми документами могут выступать ТУ и иная технологическая документация, регламентирующая процесс производства соответствующей продукции.</w:t>
            </w:r>
          </w:p>
        </w:tc>
      </w:tr>
      <w:tr w:rsidR="00044C85" w:rsidRPr="00BA6945" w:rsidTr="00427DC4">
        <w:trPr>
          <w:trHeight w:val="697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Существует ли определение коммерциализации инновационного проекта (не результатов научной и НТД) на законодательном уровне или в среде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инноваторов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моей точки зрения, не имеет смысла выделять отдельно коммерциализацию инновационного проекта. Это все должно быть отражено в бизнес-плане ИП.</w:t>
            </w:r>
          </w:p>
        </w:tc>
      </w:tr>
      <w:tr w:rsidR="00044C85" w:rsidRPr="00BA6945" w:rsidTr="00427DC4">
        <w:trPr>
          <w:trHeight w:val="5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 отличается коммерциализация инновационного проекта от коммерциализации результатов научной и НТД?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Очевидно, определенные отличия можно вывести из анализа норм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постановления Государственного комитета по науке и технологиям Республики Беларусь от 13.08.2014 №</w:t>
            </w:r>
            <w:r w:rsidR="002C119C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13 </w:t>
            </w:r>
            <w:r w:rsidR="00601FDC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 республиканском конкурсе инновационных проектов</w:t>
            </w:r>
            <w:r w:rsidR="00601FDC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="00601FDC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softHyphen/>
              <w:t xml:space="preserve">–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r w:rsidR="00200A1A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П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риложении к постановлению приведена форма стратегии коммерциализации инновационного проекта, в которой названо больше возможных способов коммерциализации.</w:t>
            </w:r>
          </w:p>
        </w:tc>
      </w:tr>
      <w:tr w:rsidR="00044C85" w:rsidRPr="00BA6945" w:rsidTr="00427DC4">
        <w:trPr>
          <w:trHeight w:val="211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Какие существуют способы коммерциализации результатов инновационного проекта? Где их можно посмотреть?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См. ответ на предыдущий вопрос.</w:t>
            </w:r>
          </w:p>
        </w:tc>
      </w:tr>
      <w:tr w:rsidR="00044C85" w:rsidRPr="00BA6945" w:rsidTr="00427DC4">
        <w:trPr>
          <w:trHeight w:val="50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должна включать в себя стратегия коммерциализации инновационного проекта?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Получение в итоге экономического или социального эффекта в соответствии с бизнес-планом и договором.</w:t>
            </w:r>
          </w:p>
        </w:tc>
      </w:tr>
      <w:tr w:rsidR="00044C85" w:rsidRPr="00BA6945" w:rsidTr="00427DC4">
        <w:trPr>
          <w:trHeight w:val="55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Какие компании могут помочь в коммерциализации инновационных проектов?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Инжиниринговые, но таких в Беларуси очень мало.</w:t>
            </w:r>
          </w:p>
        </w:tc>
      </w:tr>
      <w:tr w:rsidR="00044C85" w:rsidRPr="00BA6945" w:rsidTr="00427DC4">
        <w:trPr>
          <w:trHeight w:val="499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777A3C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Приведите 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ример коммерциализации инновационных проектов? Как проект 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проходит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стадию коммерциализации?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См. презентацию: производство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биотоплива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4C85" w:rsidRPr="00BA6945" w:rsidTr="00427DC4">
        <w:trPr>
          <w:trHeight w:val="502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777A3C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Имеется ли а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ктуальная информация о коммерциализации результатов научной и НТД с учетом сложившейся практики на современном этапе</w:t>
            </w:r>
            <w:r w:rsidR="00043F0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См. доклады и презентации выступающих. Реестр – закрытый.</w:t>
            </w:r>
          </w:p>
        </w:tc>
      </w:tr>
      <w:tr w:rsidR="00044C85" w:rsidRPr="00BA6945" w:rsidTr="00427DC4">
        <w:trPr>
          <w:trHeight w:val="328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40188B" w:rsidP="0040188B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Приведите примеры</w:t>
            </w:r>
            <w:r w:rsidR="00043F0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аиболее типичны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к, связанны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коммерциализацией результатов научной и НТД</w:t>
            </w:r>
            <w:r w:rsidR="00043F02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См. доклад и презентацию.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4B0C60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ли у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казание информации о коммерциализации результатов научной и НТД в договорах на выполнение НИР, в </w:t>
            </w:r>
            <w:proofErr w:type="spellStart"/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информации об обладателе(-</w:t>
            </w:r>
            <w:proofErr w:type="spellStart"/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ях</w:t>
            </w:r>
            <w:proofErr w:type="spellEnd"/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имущественных прав на конечную научно-техническую продукцию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043F02" w:rsidP="00BA6945">
            <w:pPr>
              <w:pStyle w:val="a3"/>
              <w:tabs>
                <w:tab w:val="left" w:pos="3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Учитывая</w:t>
            </w:r>
            <w:r w:rsidR="008D1EA9"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нормы Указа-59, сроки и способы коммерциализации, а также обладатель имущественных прав</w:t>
            </w:r>
            <w:r w:rsidR="00F82C9C"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(первоначальный)</w:t>
            </w:r>
            <w:r w:rsidR="008D1EA9"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определяются в договоре </w:t>
            </w:r>
            <w:r w:rsidR="00FF01A1"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выполнении НИОКТР,</w:t>
            </w:r>
            <w:r w:rsidR="008D1EA9" w:rsidRPr="00BA694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обладатель 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имущественных прав на конечную научно-техническую продукцию, очевидно, должен определяться в результате распоряжения имущественными правами на полученный результат НТД.</w:t>
            </w:r>
          </w:p>
        </w:tc>
      </w:tr>
      <w:tr w:rsidR="00044C85" w:rsidRPr="00BA6945" w:rsidTr="00427DC4">
        <w:trPr>
          <w:trHeight w:val="494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ясно применение части второй подпункта 1.1 пункта</w:t>
            </w:r>
            <w:r w:rsidR="004B0C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Указа-59 и пункта 7 Положения, утвержденного этим Указом. Так, в случаях, указанных в части второй подпункта 1.1 пункта 1 Указа, обязательная коммерциализация может не осуществляться. В частности, не подлежат обязательной коммерциализации результаты прикладных научных исследований, являющиеся объектами авторского права, направленные на достижение только социального эффекта и (или) использование для собственных нужд. Однако, согласно пункту 7 Положения использование результатов НТД для собственных нужд является одним из способов коммерциализации результатов НТД. Необходима ли коммерциализация в этом случае и как она должна оформляться?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Противоречия между данными нормами нет, поскольку помимо обязательной коммерциализации в соответствии с требованиями Указа-59 возможна коммерциализация, осуществляемая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 требованию государственного заказчика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4C85" w:rsidRPr="00BA6945" w:rsidTr="00427DC4">
        <w:trPr>
          <w:trHeight w:val="142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 передаются (приобретаются) имущественные права на результаты НТД государственному органу от заказчика, который также является государственным органом? 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общих основаниях, как и другим лицам. В случае безвозмездной передачи необходимо согласование КГБ.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нужно поступить в ситуации, когда заказчик изначально определил, что результаты НТД будут использоваться им для собственных нужд, а в течение 3</w:t>
            </w:r>
            <w:r w:rsidR="004B0C60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-х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лет либо по истечении этого срока возникла необходимость передачи имущественных прав иным лицам? Необходимо ли в данном случае вносить сведения в государственный реестр прав на результаты научной и НТД? Если да, то в каком порядке?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Коллегиальным органом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госзаказчика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принимается решение, оформляется протоколом, вносятся изменения в локальный и государственный реестры (если был дого</w:t>
            </w:r>
            <w:bookmarkStart w:id="0" w:name="_GoBack"/>
            <w:bookmarkEnd w:id="0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вор, на основании решения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госказчика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вносятся изменения в договор).</w:t>
            </w:r>
          </w:p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Где прописано, что первая головная организация-исполнитель по подпрограмме ГПНИ является обладателем имущественных прав на результаты исследований, выполненных в рамках НИР задания? 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Пунктом 10 Положения о коммерциализации; при этом иное (т.е. закрепление прав за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госзаказчиком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может быть предусмотрено решением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госзаказчика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Для результатов НТД, связанных с интересами национальной безопасности, закрепление прав за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госзаказчиком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предполагается.</w:t>
            </w:r>
          </w:p>
        </w:tc>
      </w:tr>
      <w:tr w:rsidR="00044C85" w:rsidRPr="00BA6945" w:rsidTr="00427DC4">
        <w:trPr>
          <w:trHeight w:val="494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Нужно ли первой головной организации-исполнителю согласовывать с государственным заказчиком предоставление нерезиденту на возмездной основе права на использование результатов НИР, выполненных в рамках задания ГПНИ? Нужно ли платить НДС в данном случае? Также нужно ли первой головной организации-исполнителю в данной ситуации в месячный срок денежные средства, полученные от возмездной передачи имущественных прав, перечислить «в доходы соответствующих бюджетов (фондов) в размере государственных средств, затраченных на их создание, пропорционально доле полученных прав» (Указ-59)?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Согласно п.20 Положения о коммерциализации головная организация-исполнитель вправе передавать имущественные права на результат НТД нерезиденту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по согласованию с 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госзаказчиком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и КГБ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если иное не определено международными договорами Республики Беларусь.</w:t>
            </w:r>
          </w:p>
        </w:tc>
      </w:tr>
      <w:tr w:rsidR="00044C85" w:rsidRPr="00BA6945" w:rsidTr="00427DC4">
        <w:trPr>
          <w:trHeight w:val="42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Является ли способом коммерциализации </w:t>
            </w:r>
            <w:r w:rsidR="00601FD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использование результатов в формировании курса лекций в вузе</w:t>
            </w:r>
            <w:r w:rsidR="00601FD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 Результаты получены научным учреждением.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Является ли это </w:t>
            </w:r>
            <w:r w:rsidR="00601FD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безвозмездным предоставлением права на использование результатов</w:t>
            </w:r>
            <w:r w:rsidR="00601FDC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а коммерциализация этих результатов вузом (что является требованием Указа) состоит в предоставлении платных услуг (платного обучения)? Как это должно подтверждаться?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Если результаты НТД могут рассматриваться в качестве объектов авторского права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(представляют собой научный отчет, монографию, статью и т.п.), то их воспроизведение, публичное исполнение, сообщение для всеобщего сведения в сети Интернет является использованием в контексте ст.16 Закона «Об авторском праве и смежных правах». Соответственно, научная организация, создавшая такой результат, может безвозмездно передать имущественные права либо предоставить право его использования </w:t>
            </w:r>
            <w:r w:rsidR="00BA0F35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вуз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у, при этом способ коммерциализации будет определен как «реализация услуг» (</w:t>
            </w:r>
            <w:r w:rsidR="00BA0F35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вуз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оказывает образовательную услугу) с использованием результата НТД, подлежащего коммерциализации.</w:t>
            </w:r>
          </w:p>
        </w:tc>
      </w:tr>
      <w:tr w:rsidR="00044C85" w:rsidRPr="00BA6945" w:rsidTr="00427DC4">
        <w:trPr>
          <w:trHeight w:val="778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Подлежит ли обязательной коммерциализации разработанная в рамках ГПНИ методика, зафиксированная в научной статье, отчете о НИР, являющихся объектами авторского права?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Не подлежит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условии, что 1) создана при выполнении прикладного научного исследования и 2) направлена на достижение социального эффекта либо предназначена для использования для собственных нужд.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Согласно примечанию к п.2 Положения о коммерциализации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 использованием результатов НТД для собственных нужд понимается деятельность юридического лица, индивидуального предпринимателя, не предусматривающая получение прибыли от использования таких результатов и (или) вступление в гражданско-правовые отношения с другими лицами, а также деятельность, связанная с использованием результатов НТД при выполнении НИОКТР. Не является использованием результатов НТД для собственных нужд создание (выполнение, оказание) с применением данных результатов товаров (работ, услуг) для целей их реализации другим лицам.</w:t>
            </w:r>
          </w:p>
        </w:tc>
      </w:tr>
      <w:tr w:rsidR="00044C85" w:rsidRPr="00BA6945" w:rsidTr="00427DC4">
        <w:trPr>
          <w:trHeight w:val="470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документированию научно-технической информации относится программная документация на программно-аппаратный комплекс или нет?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Относится, если соответствует определению, данному в ст.1 Закона «О научно-технической информации»: документированная научно-техническая информация - зафиксированная на материальном носителе научно-техническая информация с реквизитами, позволяющими ее идентифицировать.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Специалистами предприятия в результате ОКР создаются опытные образцы новых видов продукции до 30 шт. в год. Является ли это научно-технической деятельностью? Если нет, то почему до предприятия доведено оформление отчетности 1-нт (наука)?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Является. Согласно определению, данному в ст.1 Закона «Об основах государственной научно-технической политики»</w:t>
            </w:r>
            <w:r w:rsidR="00BA0F35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научно-техническая деятельность </w:t>
            </w:r>
            <w:r w:rsidR="00601FDC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деятельность, включающая проведение прикладных исследований и </w:t>
            </w:r>
            <w:r w:rsidRPr="00BA694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разработок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целью создания новых или усовершенствования существующих способов и средств осуществления конкретных процессов. К научно-технической деятельности относятся также работы по научно-методическому, патентно-лицензионному, программному, организационно-методическому и техническому обеспечению непосредственного проведения научных исследований и разработок.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Безвозмездная передача результата НТД (метод лечения, метод диагностики) другому юридическому лицу для практического использования (внедрения) – это введение в гражданский оборот, да или нет? Патентование методов не проводится для того, чтобы избежать «проблем с доступностью медпомощи»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Определение термина «введение в гражданский оборот», несмотря на его широкое применение, в действующем законодательстве Беларуси дано только в ст.1 Закона «О государственной инновационной политике и инновационной деятельности в Республике Беларусь», </w:t>
            </w:r>
            <w:r w:rsidR="00BA6945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технического решения </w:t>
            </w:r>
            <w:r w:rsidR="00BA6945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совершение любых сделок, предметом которых является переход к другому лицу имущественных прав на продукцию, технологию, организационно-техническое решение, в том числе имущественных прав на результаты интеллектуальной деятельности, используемые при создании этих продукции, технологии, организационно-технического решения, а также оказание услуг. Поэтому если передача метода лечения (диагности</w:t>
            </w:r>
            <w:r w:rsidR="00524487"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ки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оформлено договором, предметом которого является переход права собственности, предоставление права временного пользования (имущественный </w:t>
            </w:r>
            <w:proofErr w:type="spellStart"/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найм</w:t>
            </w:r>
            <w:proofErr w:type="spellEnd"/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 либо оказание информационных услуг, такая передача соответствует понятию «введение в гражданский оборот».</w:t>
            </w:r>
          </w:p>
        </w:tc>
      </w:tr>
      <w:tr w:rsidR="00044C85" w:rsidRPr="00BA6945" w:rsidTr="00427DC4">
        <w:trPr>
          <w:trHeight w:val="49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создания в результате НИОКТР биомедицинского клеточного продукта будет ли его регистрация в Минздраве для использования в учреждениях здравоохранения являться коммерциализацией? Можем ли мы самостоятельно его продавать другим организациям и частным лицам в рамках коммерциализации?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2C119C" w:rsidRPr="00BA6945" w:rsidRDefault="002C119C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ожно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корректного ответа на поставленный вопрос необходимо уточнить, в каком качестве представлен данный продукт: как защищенное патентом изобретение, относящееся к биотехнологическому продукту, либо как научный отчет – объект авторского права, либо как документированная научно-техническая документация.</w:t>
            </w:r>
          </w:p>
        </w:tc>
      </w:tr>
      <w:tr w:rsidR="00044C85" w:rsidRPr="00BA6945" w:rsidTr="00427DC4">
        <w:trPr>
          <w:trHeight w:val="328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Подлежит ли обязательной коммерциализации продукция, созданная в результате ГНТП, которая отнесена к социально значимой? Основанием для требования об обязательной коммерциализации является использование государственных средств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Критерий социальной значимости сам по себе не является основанием для исключения результата НТД, созданного с использованием государственных средств, из числа подлежащих обязательной коммерциализации. Согласно норме подп.1.12 Указа-59 не подлежат обязательной коммерциализации результаты </w:t>
            </w:r>
            <w:r w:rsidRPr="00BA694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прикладных научных исследований, являющиеся объектами авторского права, направленные на достижение только социального эффекта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4C85" w:rsidRPr="00BA6945" w:rsidTr="00427DC4">
        <w:trPr>
          <w:trHeight w:val="675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524487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Попадает ли под п. 21 Указа № 59 в редакции Указа № 240 п</w:t>
            </w:r>
            <w:r w:rsidR="008D1EA9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ередача результатов НТД по лицензионному договору?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 п.21 Указа-59 распространяется на все случаи возмездного предоставления права использования имущественных прав на результаты НТД, созданные с использованием государственных средств.</w:t>
            </w:r>
          </w:p>
        </w:tc>
      </w:tr>
      <w:tr w:rsidR="00044C85" w:rsidRPr="00BA6945" w:rsidTr="00427DC4">
        <w:trPr>
          <w:trHeight w:val="494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Каким образом фиксируется объект «ноу-хау» в режиме коммерческой тайны </w:t>
            </w:r>
            <w:r w:rsidRPr="00BA694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(далее – КТ)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Лосева С.С.: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Механизм установления режима КТ достаточно подробно регламентирован в ст.8 Закона «О коммерческой тайне». </w:t>
            </w:r>
            <w:r w:rsidRPr="00BA69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Режим КТ считается установленным после определения состава сведений, подлежащих охране в режиме КТ, и принятия лицом, правомерно обладающим такими сведениями, совокупности мер, необходимых для обеспечения их конфиденциальности.</w:t>
            </w:r>
          </w:p>
        </w:tc>
      </w:tr>
      <w:tr w:rsidR="00044C85" w:rsidRPr="00BA6945" w:rsidTr="00427DC4">
        <w:trPr>
          <w:trHeight w:val="823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Предусмотрены ли Указом-59 особенности и ограничения для исполнителя-правообладателя при возмездном предоставлении права на результат НТД (лицензировании) резидентам и нерезидентам Беларуси?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Предусмотрены в случае нерезидентов и юридических лиц, созданных с участием нерезидентов. Необходимо также обоснование цены в соответствии с законодательством. Но это не снимает выполнения требования обязательной коммерциализации.</w:t>
            </w:r>
          </w:p>
        </w:tc>
      </w:tr>
      <w:tr w:rsidR="00044C85" w:rsidRPr="00044C85" w:rsidTr="00427DC4">
        <w:trPr>
          <w:trHeight w:val="714"/>
          <w:jc w:val="center"/>
        </w:trPr>
        <w:tc>
          <w:tcPr>
            <w:tcW w:w="421" w:type="dxa"/>
            <w:shd w:val="clear" w:color="auto" w:fill="auto"/>
          </w:tcPr>
          <w:p w:rsidR="008D1EA9" w:rsidRPr="00BA6945" w:rsidRDefault="008D1EA9" w:rsidP="00BA69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</w:t>
            </w:r>
            <w:r w:rsidR="00524487"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овы</w:t>
            </w: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ключевые препятствия для создания спин-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офф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компаний при научных организациях Беларуси?</w:t>
            </w:r>
          </w:p>
        </w:tc>
        <w:tc>
          <w:tcPr>
            <w:tcW w:w="8079" w:type="dxa"/>
            <w:shd w:val="clear" w:color="auto" w:fill="auto"/>
          </w:tcPr>
          <w:p w:rsidR="008D1EA9" w:rsidRPr="00BA694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Ответ Нечепуренко Ю.В.: </w:t>
            </w:r>
          </w:p>
          <w:p w:rsidR="008D1EA9" w:rsidRPr="00044C85" w:rsidRDefault="008D1EA9" w:rsidP="00BA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Субсидиарная ответственность научной организации по долгам и др. обязательствам спин-</w:t>
            </w:r>
            <w:proofErr w:type="spellStart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офф</w:t>
            </w:r>
            <w:proofErr w:type="spellEnd"/>
            <w:r w:rsidRPr="00BA69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компаний.</w:t>
            </w:r>
          </w:p>
        </w:tc>
      </w:tr>
    </w:tbl>
    <w:p w:rsidR="00A21783" w:rsidRDefault="00A21783" w:rsidP="00BA6945"/>
    <w:sectPr w:rsidR="00A21783" w:rsidSect="00631AB8">
      <w:headerReference w:type="default" r:id="rId7"/>
      <w:pgSz w:w="16838" w:h="11906" w:orient="landscape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E1" w:rsidRDefault="000279E1" w:rsidP="009A14E0">
      <w:pPr>
        <w:spacing w:after="0" w:line="240" w:lineRule="auto"/>
      </w:pPr>
      <w:r>
        <w:separator/>
      </w:r>
    </w:p>
  </w:endnote>
  <w:endnote w:type="continuationSeparator" w:id="0">
    <w:p w:rsidR="000279E1" w:rsidRDefault="000279E1" w:rsidP="009A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E1" w:rsidRDefault="000279E1" w:rsidP="009A14E0">
      <w:pPr>
        <w:spacing w:after="0" w:line="240" w:lineRule="auto"/>
      </w:pPr>
      <w:r>
        <w:separator/>
      </w:r>
    </w:p>
  </w:footnote>
  <w:footnote w:type="continuationSeparator" w:id="0">
    <w:p w:rsidR="000279E1" w:rsidRDefault="000279E1" w:rsidP="009A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142761"/>
      <w:docPartObj>
        <w:docPartGallery w:val="Page Numbers (Top of Page)"/>
        <w:docPartUnique/>
      </w:docPartObj>
    </w:sdtPr>
    <w:sdtEndPr/>
    <w:sdtContent>
      <w:p w:rsidR="00936747" w:rsidRDefault="0093674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18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36747" w:rsidRDefault="009367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E4A"/>
    <w:multiLevelType w:val="hybridMultilevel"/>
    <w:tmpl w:val="376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7B2"/>
    <w:multiLevelType w:val="hybridMultilevel"/>
    <w:tmpl w:val="DB5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5770"/>
    <w:multiLevelType w:val="hybridMultilevel"/>
    <w:tmpl w:val="376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0876"/>
    <w:multiLevelType w:val="hybridMultilevel"/>
    <w:tmpl w:val="D404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656C4"/>
    <w:multiLevelType w:val="hybridMultilevel"/>
    <w:tmpl w:val="EBA4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5CC"/>
    <w:multiLevelType w:val="hybridMultilevel"/>
    <w:tmpl w:val="A128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441D2"/>
    <w:multiLevelType w:val="hybridMultilevel"/>
    <w:tmpl w:val="1DACC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20129"/>
    <w:multiLevelType w:val="hybridMultilevel"/>
    <w:tmpl w:val="FF7A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C30DF"/>
    <w:multiLevelType w:val="hybridMultilevel"/>
    <w:tmpl w:val="80AE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5C6D"/>
    <w:multiLevelType w:val="hybridMultilevel"/>
    <w:tmpl w:val="2438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64C9"/>
    <w:multiLevelType w:val="hybridMultilevel"/>
    <w:tmpl w:val="129AE536"/>
    <w:lvl w:ilvl="0" w:tplc="396429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C2318F4"/>
    <w:multiLevelType w:val="hybridMultilevel"/>
    <w:tmpl w:val="8FE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83"/>
    <w:rsid w:val="00010F0B"/>
    <w:rsid w:val="00016777"/>
    <w:rsid w:val="000279E1"/>
    <w:rsid w:val="00031DC6"/>
    <w:rsid w:val="00033EB0"/>
    <w:rsid w:val="00042579"/>
    <w:rsid w:val="00043F02"/>
    <w:rsid w:val="00044BE4"/>
    <w:rsid w:val="00044C85"/>
    <w:rsid w:val="00047B14"/>
    <w:rsid w:val="000859FB"/>
    <w:rsid w:val="000A0583"/>
    <w:rsid w:val="000A6236"/>
    <w:rsid w:val="000C5C46"/>
    <w:rsid w:val="000D113D"/>
    <w:rsid w:val="000E72D8"/>
    <w:rsid w:val="000F37E8"/>
    <w:rsid w:val="000F3B08"/>
    <w:rsid w:val="001168CC"/>
    <w:rsid w:val="00125699"/>
    <w:rsid w:val="00140CC1"/>
    <w:rsid w:val="00143383"/>
    <w:rsid w:val="00143C2E"/>
    <w:rsid w:val="00156CCA"/>
    <w:rsid w:val="001706D0"/>
    <w:rsid w:val="00171067"/>
    <w:rsid w:val="00171A0F"/>
    <w:rsid w:val="00184014"/>
    <w:rsid w:val="00196FF4"/>
    <w:rsid w:val="001A6EBC"/>
    <w:rsid w:val="001C019C"/>
    <w:rsid w:val="001C115B"/>
    <w:rsid w:val="001C56D3"/>
    <w:rsid w:val="001D3A42"/>
    <w:rsid w:val="00200A1A"/>
    <w:rsid w:val="002018BB"/>
    <w:rsid w:val="00212A31"/>
    <w:rsid w:val="00243D79"/>
    <w:rsid w:val="00263BBA"/>
    <w:rsid w:val="002830F6"/>
    <w:rsid w:val="00283E1F"/>
    <w:rsid w:val="002924A3"/>
    <w:rsid w:val="002A5D0B"/>
    <w:rsid w:val="002A6E26"/>
    <w:rsid w:val="002B5A88"/>
    <w:rsid w:val="002C119C"/>
    <w:rsid w:val="002C2F1A"/>
    <w:rsid w:val="002D578B"/>
    <w:rsid w:val="002E6C42"/>
    <w:rsid w:val="002F02A2"/>
    <w:rsid w:val="002F5F36"/>
    <w:rsid w:val="002F6D40"/>
    <w:rsid w:val="002F6FB9"/>
    <w:rsid w:val="0030243E"/>
    <w:rsid w:val="003206CA"/>
    <w:rsid w:val="003302BC"/>
    <w:rsid w:val="00341926"/>
    <w:rsid w:val="00351914"/>
    <w:rsid w:val="00362C8A"/>
    <w:rsid w:val="00367C79"/>
    <w:rsid w:val="00383751"/>
    <w:rsid w:val="00392CB0"/>
    <w:rsid w:val="003A400C"/>
    <w:rsid w:val="003B5089"/>
    <w:rsid w:val="003D2B24"/>
    <w:rsid w:val="0040188B"/>
    <w:rsid w:val="00404075"/>
    <w:rsid w:val="004229F6"/>
    <w:rsid w:val="00427DC4"/>
    <w:rsid w:val="00435FD5"/>
    <w:rsid w:val="004477B2"/>
    <w:rsid w:val="004619E0"/>
    <w:rsid w:val="00465663"/>
    <w:rsid w:val="004B0C60"/>
    <w:rsid w:val="004D17E6"/>
    <w:rsid w:val="004D349A"/>
    <w:rsid w:val="004D4EBD"/>
    <w:rsid w:val="004E2B87"/>
    <w:rsid w:val="004E39A4"/>
    <w:rsid w:val="00513A08"/>
    <w:rsid w:val="00515557"/>
    <w:rsid w:val="00516B9A"/>
    <w:rsid w:val="00520D05"/>
    <w:rsid w:val="00523217"/>
    <w:rsid w:val="005243C6"/>
    <w:rsid w:val="00524487"/>
    <w:rsid w:val="00560E1B"/>
    <w:rsid w:val="00564484"/>
    <w:rsid w:val="00582BA6"/>
    <w:rsid w:val="00584D58"/>
    <w:rsid w:val="00590BAA"/>
    <w:rsid w:val="005A75F8"/>
    <w:rsid w:val="005C4843"/>
    <w:rsid w:val="005F00A8"/>
    <w:rsid w:val="005F5E0B"/>
    <w:rsid w:val="00601FDC"/>
    <w:rsid w:val="00602E5F"/>
    <w:rsid w:val="0061064C"/>
    <w:rsid w:val="0063063D"/>
    <w:rsid w:val="00631AB8"/>
    <w:rsid w:val="0063546B"/>
    <w:rsid w:val="006368B8"/>
    <w:rsid w:val="00641BF2"/>
    <w:rsid w:val="006447DD"/>
    <w:rsid w:val="00644D89"/>
    <w:rsid w:val="00654A77"/>
    <w:rsid w:val="00671934"/>
    <w:rsid w:val="006B1D10"/>
    <w:rsid w:val="006C54C9"/>
    <w:rsid w:val="006D06AA"/>
    <w:rsid w:val="006E1BAC"/>
    <w:rsid w:val="006E6151"/>
    <w:rsid w:val="00705A2E"/>
    <w:rsid w:val="00744D0E"/>
    <w:rsid w:val="0075788F"/>
    <w:rsid w:val="00767EE8"/>
    <w:rsid w:val="00777A3C"/>
    <w:rsid w:val="007840CA"/>
    <w:rsid w:val="0078674F"/>
    <w:rsid w:val="00791B68"/>
    <w:rsid w:val="0079292A"/>
    <w:rsid w:val="007D38A0"/>
    <w:rsid w:val="007E428B"/>
    <w:rsid w:val="00801DA2"/>
    <w:rsid w:val="00812D60"/>
    <w:rsid w:val="00814006"/>
    <w:rsid w:val="0081408A"/>
    <w:rsid w:val="008166E3"/>
    <w:rsid w:val="008A5854"/>
    <w:rsid w:val="008C7574"/>
    <w:rsid w:val="008D1EA9"/>
    <w:rsid w:val="008D3362"/>
    <w:rsid w:val="008D58C9"/>
    <w:rsid w:val="008D7684"/>
    <w:rsid w:val="00900CEE"/>
    <w:rsid w:val="00923736"/>
    <w:rsid w:val="00933CA5"/>
    <w:rsid w:val="00936747"/>
    <w:rsid w:val="0095382A"/>
    <w:rsid w:val="00964922"/>
    <w:rsid w:val="00965133"/>
    <w:rsid w:val="00977621"/>
    <w:rsid w:val="00986E91"/>
    <w:rsid w:val="00994626"/>
    <w:rsid w:val="009A14E0"/>
    <w:rsid w:val="009C73C9"/>
    <w:rsid w:val="00A11FB7"/>
    <w:rsid w:val="00A12888"/>
    <w:rsid w:val="00A174CE"/>
    <w:rsid w:val="00A21783"/>
    <w:rsid w:val="00A35A28"/>
    <w:rsid w:val="00A446F9"/>
    <w:rsid w:val="00A775E7"/>
    <w:rsid w:val="00A77FB5"/>
    <w:rsid w:val="00A863B6"/>
    <w:rsid w:val="00A94EEB"/>
    <w:rsid w:val="00AE06CC"/>
    <w:rsid w:val="00AF0DB9"/>
    <w:rsid w:val="00AF6E1C"/>
    <w:rsid w:val="00B1315B"/>
    <w:rsid w:val="00B219EC"/>
    <w:rsid w:val="00B21B05"/>
    <w:rsid w:val="00B81A2D"/>
    <w:rsid w:val="00B8243B"/>
    <w:rsid w:val="00B96EF2"/>
    <w:rsid w:val="00BA0F35"/>
    <w:rsid w:val="00BA6945"/>
    <w:rsid w:val="00BB30E2"/>
    <w:rsid w:val="00BB68E3"/>
    <w:rsid w:val="00BC1958"/>
    <w:rsid w:val="00BE6331"/>
    <w:rsid w:val="00BE6342"/>
    <w:rsid w:val="00C16CE7"/>
    <w:rsid w:val="00C25F7A"/>
    <w:rsid w:val="00C26B30"/>
    <w:rsid w:val="00C327F5"/>
    <w:rsid w:val="00C3565C"/>
    <w:rsid w:val="00C43BA9"/>
    <w:rsid w:val="00C472F7"/>
    <w:rsid w:val="00C65D44"/>
    <w:rsid w:val="00C76C7B"/>
    <w:rsid w:val="00CA366B"/>
    <w:rsid w:val="00CA59BE"/>
    <w:rsid w:val="00CB2207"/>
    <w:rsid w:val="00CF3756"/>
    <w:rsid w:val="00D04482"/>
    <w:rsid w:val="00D100CA"/>
    <w:rsid w:val="00D10BB2"/>
    <w:rsid w:val="00D600F3"/>
    <w:rsid w:val="00D6522B"/>
    <w:rsid w:val="00D80372"/>
    <w:rsid w:val="00D82C9D"/>
    <w:rsid w:val="00D90CD1"/>
    <w:rsid w:val="00D9346E"/>
    <w:rsid w:val="00DC2FDB"/>
    <w:rsid w:val="00DC6717"/>
    <w:rsid w:val="00DE5C9D"/>
    <w:rsid w:val="00DF0F78"/>
    <w:rsid w:val="00DF24D0"/>
    <w:rsid w:val="00E0180D"/>
    <w:rsid w:val="00E1506D"/>
    <w:rsid w:val="00E47F7C"/>
    <w:rsid w:val="00E53F2A"/>
    <w:rsid w:val="00E77AD0"/>
    <w:rsid w:val="00EA7836"/>
    <w:rsid w:val="00EB2AD4"/>
    <w:rsid w:val="00EC68F7"/>
    <w:rsid w:val="00ED0285"/>
    <w:rsid w:val="00ED76ED"/>
    <w:rsid w:val="00F019EB"/>
    <w:rsid w:val="00F04FFD"/>
    <w:rsid w:val="00F3692D"/>
    <w:rsid w:val="00F454DA"/>
    <w:rsid w:val="00F541CF"/>
    <w:rsid w:val="00F76F37"/>
    <w:rsid w:val="00F810D3"/>
    <w:rsid w:val="00F82C9C"/>
    <w:rsid w:val="00F83D3A"/>
    <w:rsid w:val="00F9519C"/>
    <w:rsid w:val="00F959A3"/>
    <w:rsid w:val="00FA2C72"/>
    <w:rsid w:val="00FB4B3E"/>
    <w:rsid w:val="00FC2D7D"/>
    <w:rsid w:val="00FC7B84"/>
    <w:rsid w:val="00FD24ED"/>
    <w:rsid w:val="00FE67BE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F26FE-8187-4133-A979-215D87B3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4E0"/>
  </w:style>
  <w:style w:type="paragraph" w:styleId="a6">
    <w:name w:val="footer"/>
    <w:basedOn w:val="a"/>
    <w:link w:val="a7"/>
    <w:uiPriority w:val="99"/>
    <w:unhideWhenUsed/>
    <w:rsid w:val="009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Светлана</dc:creator>
  <cp:keywords/>
  <dc:description/>
  <cp:lastModifiedBy>Агеева Светлана</cp:lastModifiedBy>
  <cp:revision>4</cp:revision>
  <dcterms:created xsi:type="dcterms:W3CDTF">2021-08-04T08:14:00Z</dcterms:created>
  <dcterms:modified xsi:type="dcterms:W3CDTF">2021-08-04T08:40:00Z</dcterms:modified>
</cp:coreProperties>
</file>